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156</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7582-2019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7582-2019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361-2018 seguido en el Juzgado de Primera Instancia e Instrucción núm. 4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30 de diciembre de 2019, tuvo entrada en el registro general de este Tribunal Constitucional un escrito de la procuradora doña Blanca Berriatua Horta, en representación de la entidad Penrei Inversiones, S.L., por el que interpuso recurso de amparo contra el auto de 20 de noviembre de 2018, del Juzgado de Primera Instancia e Instrucción núm. 4 de Lorca, que inadmitió el escrito de oposición a la ejecución hipotecaria promovida por Banco de Sabadell, S.A., y contra el auto del mismo juzgado, de 11 de noviembre de 2019, que desestimó el recurso de reposición interpuesto contra la anterior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20 de noviembre de 2018, el juzgado de primera instancia e instrucción ya indicado dictó un auto en el procedimiento de ejecución hipotecaria núm. 361-2018 por el que acordó: “Inadmitir a trámite la oposición formulada por la parte ejecutada Euroinversiones Inmobiliarias Costa Sur, S.L., y Penrei Inversiones, S.L., […] por estar presentada fuera de plazo”, advirtiendo en pie de recurso, por error, que contra dicha resolución cabía recurso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basó su decisión, conforme a su fundamento de Derecho único, en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establece en el artículo 134 de la LEC, la improrrogabilidad de los plazos establecidos en la misma, y en el artículo 136 de la LEC, que transcurrido o pasado el término señalado para la realización de un acto procesal de parte se producirá la preclusión y se perderá la oportunidad de realizar el acto de que se trate.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Establece el artículo 695 de la LEC, que la parte ejecutada pueda oponerse al despacho de ejecución en los términos previstos en dicho artículo y en el plazo de diez días a contar desde el siguiente a la notificación del auto y del decreto. Constando en el presente supuesto que la parte ejecutada se ha opuesto una vez transcurrido el plazo que legalmente se le otorga, debe ser inadmitida su oposición por extemporánea, de conformidad con lo establecido en los preceptos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Formalizado contra dicho auto recurso de reposición por la entidad aquí demandante de amparo, el juzgado a quo lo admitió a trámite, dictando auto el 11 de noviembre de 2019 en sentido desestimatorio, con confirmación de la resolución recurrida, en virtud de los motivos expresados en su fundamento de Derecho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ser desestimado el recurso de reposición interpuesto por ser el auto recurrido conforme a la normativa procesal vigente en materia de oposición a la ejecución (artículos 556.1 LEC y concordantes) y de actos de comunicación. Así, pese a las alegaciones del recurrente que pretende mantener que el escrito de oposición fue presentado en plazo para ello por entender que el auto despachando la ejecución y el requerimiento efectuado deben entenderse notificados en fecha 3 de agosto de 2018, en la que se accedió efectivamente a las citadas resoluciones, lo cierto es que debe tenerse en cuenta la fecha en la que efectivamente tuvo la parte posibilidad de acceder a las mismas, de lo contrario se estaría dejando al arbitrio de las partes obligadas a utilizar el sistema electrónico de comunicaciones el cumplimiento de los plazos procesales dispuesto en la normativa.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artículos citados como infringidos por la parte recurrente (arts. 135, 152, 162 y 273 y siguientes de la LEC) han sido perfectamente respetados en el presente procedimiento. La propia parte recurrente afirma estar obligada a utilizar los medios electrónicos en sus comunicaciones con el juzgado y afirma que la notificación se remitió a la dirección de correo electrónico ‘habilitada’ del titular a las que se refiere el art. 162 de la LEC, que tiene carácter de norma especial, destinada a regular los actos de comunicación por medios electrónicos o similares. No existiendo discusión ni duda acerca de la aplicabilidad de dicho precepto, al reconocer la propia recurrente la obligatoriedad en el uso de dichos medios en las relaciones con la Administración de Justicia, se llega a la conclusión de que lo dispuesto en el mismo es claro y ha sido respetado. Del propio documento núm. 1 aportado con el escrito interponiendo recurso de reposición y de las propias alegaciones vertidas por la recurrente, resulta la correcta recepción de la notificación en fecha 27/06/2018, fecha en la que se materializó la ‘puesta a disposición’ de la notificación correctamente y del propio documento resulta que pasaron más de tres días desde la misma sin que se hubiera accedido al contenido hasta el día 3 de agosto de 2018, por tanto, en aplicación estricta de lo dispuesto en el apartado segundo del art. 162 de la LEC, sin que se haya justificado por el recurrente una imposibilidad de acceder al sistema en este plazo. Por todo ello debe ser desestimado el recurso interpuesto, al ser el auto recurrido plenamente ajustado a Derecho, al inadmitir un escrito que fue presentado fuera de plazo cuando ya había precluido la posibilidad de hacerlo”.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traía el siguiente pie de recurso: “Contra este auto no cabe recurso alguno, sin perjuicio de reproducir la cuestión objeto de la reposición al recurrir, si fuera posible, la resolución definitiva (artículo 454 de la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las resoluciones judiciales impugnadas causan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tratándose de su primer emplazamiento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reconoce que si bien la recurrente, por ser una persona jurídica, viene por ello obligada a relacionarse con la administración de justicia a través de medios electrónicos, no obstante cuando es el primer emplazamiento y por tanto todavía aquella “no ha tenido ninguna relación con el juzgado correspondiente en este especial y concreto procedimiento”, ha de practicarse mediante cédula con entrega en papel de la documentación correspondiente, conforme establece el art. 273 LEC, en relación con los arts. 135, 152, 162 y 155 de la misma LEC. Este último, precisa, “es categórico al respecto ya que en su punto primero nos indica que cuando las partes no actúen representadas por procurador o se trate del primer emplazamiento o citación al demandado, los actos de comunicación se harán por remisión al domicilio de los litigantes”. Añade que incluso la notificación realizada tampoco cumple con las formalidades de las comunicaciones electrónicas. Pese a todo esto, el auto dictado por el juzgado el 20 de noviembre de 2018 declaró extemporánea la presentación del escrito de oposición, computando el plazo de diez días desde la fecha de envío de aquel correo a través de la dirección electrónica habilitada.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es importante hacer mención a la “recientísima sentencia del Tribunal Constitucional STC 47/2019, de 8 de abril de 2019, que no solo confirma todo lo dicho hasta ahora en el presente recurso de amparo, sino que lo refuerza, en el sentido de que en modo alguno debe entenderse que, tratándose del emplazamiento, este no se efectúe en el domicilio como impone el artículo 155.1 de la Ley de enjuiciamiento civil”, sin que a ello obste la argumentación dada por el auto que inadmite la oposición; pasando a reproducir pasajes de los fundamentos jurídicos 2 a 5 de dicha STC 47/2019.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auto de 11 de noviembre de 2019 que desestimó la reposición, se rechaza por la recurrente que los preceptos citados por el juzgado fundamenten su decisión, en cuanto “no es menos cierto que, en ningún precepto de la Ley de enjuiciamiento civil se diga que al proceso civil se le aplican las normas del proceso administrativo, ni existe ningún precepto en ninguna otra norma que otorgue a la normativa del proceso administrativo el mismo rango o aplicabilidad que puedan tener la norma procesal civil, la penal, la contencioso-administrativa o la social, que disponen de regulación específica a través de normas concretas, puesto que, mientras la administrativa regula un tipo de procedimiento específico, las otras hacen referencia a procesos que se plantean ante Tribunales de Justicia, que aunque forman parte de la ‘administración’, tienen su normativa específica”.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 solicita que este Tribunal Constitucional, con estimación del amparo, acuerde la nulidad de ambas resoluciones judiciales y ordene reponer las actuaciones al momento previo al dictado de la primera de aquellas, a fin de que el juzgado a quo admita a trámite la oposición al despacho de ejecución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 de los pronunciamientos judiciales que han sido objeto de impugnación, con la celebración de subasta y la eventual adjudicación a terceros, puede hacer perder al recurso de amparo su finalidad”, por lo que solicita “la suspensión de la continuación del procedimiento de ejecución hipotecaria 361-2018 seguido ante el Juzgado de Primera Instancia e Instrucción número 4 de Lorca, hasta tanto sea resuelto el presente recurso de amparo, poniéndolo en conocimiento del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presidenta de la Sala Segunda de este tribunal dictó acuerdo de conexión el 27 de enero de 2020, del siguiente tenor: “Visto que los recursos de amparo 7578-2019 y 7582-2019, turnados a la Sala Segunda de este tribunal, provienen del mismo proceso, dispongo, en atención a esta conexión objetiva, en ejercicio de las facultades que a esta Presidencia atribuye el acuerdo del Pleno, de 23 de octubre de 2013 sobre normas para la designación de magistrados ponentes, que la ponencia del segundo de dichos recursos corresponda al magistrado ponente del recurso 7578-2019”.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 este tribunal dictó providencia el 4 de noviembre de 2020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por los siguientes motivos: 1.- El recurso plantea un problema o afecta a una faceta de un derecho fundamental sobre el que no hay doctrina de este tribunal [STC 155/2009, FJ 2 a)]. 2.- El recurso puede dar ocasión al tribunal para aclarar o cambiar su doctrina, como consecuencia de cambios normativos relevantes para la configuración del contenido del derecho fundamental [STC 155/2009,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habiéndose interesado anteriormente la remisión de copia testimoniada de la ejecución hipotecaria 361-2018, en aplicación de lo dispuesto en el artículo 51 de la Ley Orgánica de este Tribunal, diríjase atenta comunicación al Juzgado de Primera Instancia e Instrucción núm. 4 de Lorca a fin de que, en plazo que no exceda de diez días, se proceda a emplazar a quienes hubieran sido parte en el procedimiento, excepto la parte recurrente en amparo, para que, si lo desean, puedan comparecer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la solicitud de la parte actora, fórmese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nueva providencia dictada por la Sección Cuarta de este tribunal en la misma fecha de la admisión del recurso, el 4 de noviembre de 2020,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entidad recurrente presentó su escrito de alegaciones con fecha 12 de noviembre de 2020, interesando se acceda a lo solicitado en cuanto a la suspensión del procedimiento de ejecución hipotecaria referido.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alega que la continuación de tal procedimiento, “con la celebración de subasta y la eventual adjudicación a terceros haría perder al recurso de amparo su finalidad y provocaría perjuicios patrimoniales para mi representada de imposible o difícil reparación”. Invoca a su favor lo resuelto por este Tribunal en sus AATC 21/2018, de 5 de marzo, y 58/2018,  de 4 de junio, reiterando a renglón seguido las vulneraciones constitucionales de fondo que aduce en su demanda, e indicando que de no adoptarse la medida y “seguir adelante la ejecución podría producirse la transmisión irrecuperable del dominio del bien inmueble, creando una situación difícilmente reversible que menoscabaría los fines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la fiscal ante este Tribunal Constitucional formalizó su escrito de alegaciones en esta pieza el 16 de noviembre de 2020, interesando que adoptemos únicamente la medida de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cita del art. 56.2 de la Ley Orgánica del Tribunal Constitucional (LOTC) y doctrina general sobre la improcedencia de la suspensión del acto impugnado, excepto en situaciones de daños irreparables y siempre que la suspensión no cause las perturbaciones graves que refiere dicho precepto, con cita del ATC 127/2015, de 27 de julio, FJ 1, señala el escrito que la entidad recurrente solicita la suspensión del procedimiento ejecutivo “sin explicitar ninguna razón que permita afirmar que la continuación del procedimiento judicial incluso con desplazamiento posesorio, provoque un perjuicio determinante de la pérdida de la finalidad del recurso de amparo”; por lo que no ha de accederse 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continúa diciendo, “para conseguir el efecto protector deseado por la recurrente y enervar los indeseables efectos de la paralización del procedimiento que por su propia naturaleza goza de las características de celeridad y sumariedad, se puede acordar la anotación preventiva de la demanda de amparo en el registro de la propiedad, ya que de esta manera se daría publicidad frente a terceros de la pendencia del recurso, lo que conlleva el conocimiento de los efectos que sobre la titularidad de la finca puede tener el otorgamiento del amparo en su caso, evitando que el hipotético tercero adquirente quede especialmente protegido por su buena fe en la adquisición”. Añade que se trata esta última de una medida que el tribunal puede adoptar ex art. 56.3 LOTC, incluso de oficio, con cita del ATC 2/2019, de 9 de enero, FJ 4, que reproduce. Considera la fiscal que en este caso “la tutela que pudiera otorgarse por este tribunal no sería completa si se deja abierta la posibilidad de que la finca sea transmitida a un tercero de buena fe mientras se sustancia y resuelve el presente proceso de amparo, por lo que se interesa la anotación preventiva de la demanda en el registro de la propiedad, evitando así situaciones cuya reversibilidad seria que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361-2018 seguido en el Juzgado de Primera Instancia e Instrucción núm. 4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la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dicha entidad mercantil, como tampoco sobre las características, destino y estado posesorio del inmueble hipotecado. En tales circunstancias, no es posible afirmar que la continuación del curso del procedimiento judicial, incluso con un desplazamiento posesorio, provoque por sí solo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hiciera irreivindicable; situación a la que se hace referencia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FJ 3; 88/2018, de 17 de septiembre, FJ 5, y 2/2019, de 9 de enero, FJ 4; así como en el ATC 85/2019, de 15 de julio, donde se plantearon los mismos argumentos que aquí para solicitar la suspensión por la otra entidad ejecutada.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y que,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 en relación con el presente recurso de amparo instado por la entidad Penrei Inversiones, S.L.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361-2018 seguido en el Juzgado de Primera Instancia e Instrucción núm. 4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