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162</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diciembre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7583-2019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7583-2019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362-2018 seguido en el Juzgado de Primera Instancia e Instrucción núm. 4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entidad mercantil Penrei Inversiones, S.L., representada por la procuradora de los tribunales doña Blanca Berriatua Horta, con asistencia letrada de doña Anju Nirmala Rodríguez Benavent, solicita la suspensión del proceso de ejecución hipotecaria núm. 362-2018 tramitado por el Juzgado de Primera Instancia e Instrucción núm. 4 de Lorca. Lo hace por otrosí en el escrito de 29 de diciembre de 2019 por el que interpone recurso de amparo contra los autos de 20 de noviembre de 2018 y 11 de septiembre de 2019 recaídos en aquel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resolver sobre la medida cautelar solicitada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Juzgado de Primera Instancia e Instrucción núm. 4 de Lorca se sigue procedimiento de ejecución hipotecaria núm. 362-2018 promovido por la entidad Banco de Sabadell, S.A. frente a la sociedad Penrei Inversiones, S.L., en calidad de titular de un derecho de uso respecto del inmueble afectado.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Despachada ejecución por auto de 26 de junio de 2018, el Servicio de Notificaciones de la Fábrica Nacional de Moneda y Timbre remite a la demandante de amparo, a través de la dirección electrónica habilitada un aviso. Informa de que la notificación estará disponible desde el 3 de julio hasta el 18 de agosto. El 3 de agosto la recurrente de amparo accede efectivamente a la página web y a la notificación.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31 de agosto de 2018, la sociedad demandada formula oposición a la ejecución despachada. Por auto de 20 de noviembre del mismo año fue inadmitida por extemporánea.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sociedad ejecutada interpone recurso de reposición. Alega que las diligencias de notificación y requerimiento se realizaron el 3 de agosto de 2018. La comunicación remitida a través de la dirección electrónica habilitada no sería más que un aviso de puesta a disposición o descarga de su contenido durante un plazo determinado. Entenderlo de otro modo vulneraría el art. 24 CE, además de los arts. 135, 152, 160, 162 de la Ley 1/2000, de 7 de enero, de enjuiciamiento civil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recurso fue desestimado por auto de 11 de septiembre de 2019. El órgano judicial reafirma que la notificación se practicó el 29 de junio de 2018, fecha en la que se materializó correctamente su puesta a disposición en aplicación estricta del art. 162 LEC. A efectos de computar el plazo para formular oposición a la ejecución hipotecaria no puede tomarse en consideración la fecha en que el acceso se realizó efectivamente; de lo contrario se estaría dejando al arbitrio de las partes obligadas a utilizar el sistema electrónico de notificaciones el cumplimiento de los términos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atribuye a los autos impugnados la vulneración del derecho fundamental de la sociedad recurrente a la tutela judicial efectiva y a un proceso con garantías y sin indefensión (art. 24, apartados 1 y 2 CE). La interpretación de la legislación procesal habría privado injustamente a la recurrente de su derecho a formular oposición a la ejecución hipotecaria, porque —tratándose de un primer emplazamiento— debió realizarse del modo tradicional (art. 273 LEC). El órgano judicial habría incumplido su obligación de asegurar, no ya la legalidad formal de los actos de comunicación, sino el cumplimiento efectivo de su finalidad constitucional. La demanda solicita por otrosí la suspensión del proceso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29 de junio de 2020, la Sección Segunda de este tribunal acuerda inadmitir a trámite el recurso de amparo por carecer de especial trascendencia constitucional. Recurrida en súplica por el Ministerio Fiscal, la sección, mediante ATC 118/2020, de 9 de octubre, la declara nula y acuerda admitir a trámite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diligencia de ordenación de 21 de octubre de 2020, el secretario de justicia acuerda formar la oportuna pieza para la tramitación del incidente de suspensión y, conforme a lo dispuesto en el art. 56 de la Ley Orgánica del Tribunoal Constitucional (LOTC), concede un plazo común de tres días a la parte recurrente y al Ministerio Fiscal para que aleguen lo que estimen pertinente.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23 de octubre de 2020, la demandante de amparo insiste en que la ejecución se ha despachado con vulneración de su derecho a la tutela judicial efectiva. Añade que la doctrina constitucional ha accedido a suspender ejecuciones hipotecarias en otros casos y que no hacerlo en el presente conduciría a situaciones irreversibles con inevitables perjuicios.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registrado el 5 de noviembre siguiente, el Ministerio Fiscal interesa que se acuerde la anotación preventiva de la demanda en el registro de la propiedad, pese a no haber sido solicitada. Tras exponer la doctrina constitucional sobre suspensión de resoluciones impugnadas, considera que, de no adoptarse la anotación preventiva de la demanda, la tutela que el tribunal pudiera otorgar corre el riesgo de ser incompleta; dejaría abierta la posibilidad de que la finca sea transmitida a un tercero de buena fe mientras se sustancia y resuelve el presente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resolver sobre la procedencia de la medida cautelar instada por la parte recurrente en amparo y dirigida frente al procedimiento de ejecución hipotecaria núm. 362-2018 seguido en el Juzgado de Primera Instancia e Instrucción núm. 4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LOTC,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La suspensión no podrá pues ocasionar perturbación grave alguna sobre un interés constitucionalmente protegido o los derechos fundamentales o libertades de otra persona. Por esta razón se configura como una medida de carácter excepcional y de aplicación restrictiva (por todos, AATC 117/2015, de 6 de julio, FJ 1, y 59/2017, de 24 de abril, FJ 1). Este tribunal viene exigiendo a quien solicita la adopción de la medida cautelar de suspensión del acto o resolución judicial recurrido que alegue, pruebe o justifique, ofreciendo un principio razonable de prueba, la irreparabilidad o dificultad de la reparación de los perjuicios de seguirse la ejecución del acto impugnado. Debe mostrar que la ejecución del acto recurrido puede privar a la demanda de amparo de su finalidad, provocando que el restablecimiento del recurrente en el derecho constitucional vulnerado sea tardío y convirtiendo en meramente ilusorio y nominal el amparo impetrado [AATC 51/1989, de 30 de enero, 290/1995, de 23 de octubre; 370/1996, de 16 de diciembre; 283/1999, de 29 de noviembre,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13 de febrero, FJ 2; 74/2013, de 8 de abril, FJ 2; 152/2013, de 8 de julio; FJ 2; 37/2014, de 10 de febrero, FJ 2 , 282/2014, de 17 de noviembre, FJ 4,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expuesta al caso aquí planteado permite concluir, de acuerdo con el Ministerio Fiscal, que resulta improcedente la suspensión solicitada y, por el contrario, medida idónea la anotación preventiva de la demanda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demandante se limita a poner de manifiesto, genéricamente, que la eventual adjudicación a terceros puede hacer perder al recurso de amparo su finalidad, sin añadir indicación alguna sobre la situación y circunstancias de la entidad mercantil recurrente así como sobre las características, destino y estado posesorio del inmueble hipotecado. En tales circunstancias, no es posible afirmar que la continuación del curso del procedimiento judicial, incluso con un desplazamiento posesorio, provoque por sí sola un perjuicio determinante de la pérdida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entiende, por el contrario, que las circunstancias que presenta el supuesto sometido a consideración llevan a estimar la procedencia de acordar, de modo alternativo, la medida cautelar de anotación preventiva de la demanda de amparo en el registro de la propiedad en cuanto la reputa medida idónea para evitar el perjuicio derivado de que la adquisición del bien por tercero lo haga irreivindicable. Esta ha sido la solución acogida recientemente, para otros casos, en los AATC 75/2019 y 76/2019, ambos de 15 de julio,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(AATC 274/2002, de 18 de diciembre, 257/2003, de 14 de julio, 230/2007, de 7 de mayo, FJ 3; 415/2007, de 5 de noviembre, FJ 4, y 28/2009, de 26 de enero, FJ 2). De acuerdo con el ATC 95/2015,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 Nuestra decisión en esta materia al ordenar que se practique la anotación preventiva, remite al órgano judicial la práctica de las actuaciones pertinentes para que pueda llevarse a efecto la medida, de conformidad con la legislación procesal e hipotecaria (AATC 257/2003, de 14 de julio, 406/2003, de 15 de diciembre, 230/2007, de 7 de mayo, FJ 3; 415/2007, de 5 de noviembre, FJ 4, y 217/2012,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362-2018 seguido en el Juzgado de Primera Instancia e Instrucción núm. 4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diciembre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