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364-2018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enero de 2020, la entidad Euroinversiones Inmobiliarias Costa Sur, S.L., representada por la procuradora de los tribunales doña Blanca Berriatua Horta y bajo la dirección de la letrada doña Anju Nirmala Benavent Rodríguez, interpuso recurso de amparo contra los autos de 14 de noviembre de 2018 y de 20 de noviembre de 2019, dictados por el Juzgado de Primera Instancia e Instrucción núm. 4 de Lorca, en el procedimiento de ejecución hipotecaria núm. 364-2018,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364-2018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43310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26 de junio de 2018 se acordó despachar ejecución frente las sociedades demandadas por la cantidad de 2 248,32 € de principal y 674,49 €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3 de julio de 2018. En dicha comunicación se informa que la notificación estará disponible hasta el 18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1de septiembre de 2018. Por auto de 14 de noviembre de 2018 se acordó su inadmisión por considerar la pretensión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3 de julio de 2018, sino en la fecha en que accedió a la web y procedió a su descarga, y que la comunicación remitida a través de la dirección electrónica habilitada no puede entenderse más que como un aviso de puesta a disposición o descarga de su contenido durante un plazo determinado (en el caso desde el 3 de julio hasta el 18 de agosto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20 de noviembre de 2019. Según esta resolución, el 3 de julio de 2018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junio de 2020 la Sección Primera de este tribunal acordó no admitir a trámite el recurso de amparo por no apreciar en el mismo la especial trascendencia constitucional que, como condición para su admisión, requiere el art. 50.1 b) de la Ley Orgánica del Tribunal Constitucional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con fecha 9 de julio de 2020, interpuso recurso de súplica ex art. 50.3 de la Ley Orgánica del Tribunal Constitucional (LOTC) contra la providencia de 16 de junio de 2020, en el que interesaba que se dejase sin efecto la providencia indicada, dictándose otra en su lugar admitiendo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la Sección Primera de 15 de septiembre de 2020 se estimó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19 de octubre de 2020 la Sección Primera de este tribunal acordó admitir a trámite el recurso de amparo y dirigir comunicación al Juzgado de Primera Instancia e Instrucción núm. 4 de Lorca, a fin de que, en el plazo de diez días, remitiera certificación o fotocopia adverada de las actuaciones correspondientes a la ejecución hipotecaria 364-2018,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se acuerda formar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el 26 de octubre de 2020, la parte demandante formuló sus alegaciones, reiterando lo dicho en el otro sí de su demanda y trascribiendo parte de los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en escrito registrado el 5 de noviembre de 2020,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presentado el 17 de noviembrebre de 2020, la procuradora de los tribunales doña María Claudia Munteanu, en nombre y representación de Pera Assets Designated Activity Company, presentó su escrito de alegaciones en el que se opone a la suspensión. Tras reproducir distintos autos del Tribunal Constitucional en los que se deniegan las suspensiones interesadas, señala que la recurrente se limita a solicitar la suspensión sin acreditar ningún tipo de perjuicio que pueda considerarse irreparable, teniendo como única finalidad la de entorpecer y demorar el procedimiento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364-2018,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es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364-2018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