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2563-2019, promovido por la entidad mercantil Izo Corporate, S.L., contra el auto de 5 de marzo de 2019 y contra la sentencia de 13 de diciembre de 2018, ambos de la Sala de lo Civil y Penal del Tribunal Superior de Justicia de Madrid, recaídos en el procedimiento de anulación de laudo arbitral núm. 45-2018. Ha intervenido el Ministerio Fiscal.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23 de abril de 2019, la entidad Izo Corporate, S.L., representada por la procuradora de los tribunales doña María del Valle Gili Ruiz y asistida por la letrada doña Hannah de Bustos Lanza, interpuso demanda de amparo contra las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antecedentes procesales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Izo Corporate, S.L., con sede en Madrid y la sociedad Socialtech, S.R.L., con sede en Buenos Aires, celebraron con fecha de 12 de diciembre de 2013, un contrato de franquicia, en cuya virtud se autorizaba a la franquiciada a utilizar en exclusiva, en Argentina y Uruguay, el sistema “Izo”. Debido al incumplimiento en el abono de determinadas cantidades, la mercantil Izo Corporate, S.L., resolvió el contrato, a lo que dio su conformidad Socialtech, S.R.L.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base en la cláusula arbitral pactada en el contrato, que sometía sus discrepancias a arbitraje de la Cámara de Comercio Internacional, en la ciudad de Madrid y con sometimiento a la legislación española, la demandante de amparo Izo Corporate, S.L., planteó demanda, reclamando determinadas cantidades de dinero, por entender que la sociedad demandada Socialtech, S.R.L., había continuado ejecutando la misma actividad, bajo otro nombre comercial, vulnerando de esta manera la cláusula de no competencia post-contractual acordada entre ambas. Por su parte, la demandada solicitó en su contestación, la nulidad del contrato por falta de objeto y error en el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14 de abril de 2018, el árbitro único, designado por la Cámara de Comercio Internacional, tras practicar la prueba propuesta y admitida, dictó, al amparo de la corte de arbitraje de la Cámara de Comercio Internacional, un laudo por el que condenaba a la mercantil argentina Socialtech, S.R.L., a abonar a la parte demandante la cantidad de 98 969,53 €, en concepto de pago de facturas impagadas y otros 120 000 €, en concepto de pago de la penalidad por violación del pacto de no competencia post-contractual. Añadía a la condena anterior, la totalidad de los gastos administrativos del arbitraje y honorarios del árbitro único, así como el pago de las costas legales y honorarios por importe de 20 000 € y otros conceptos.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dicho laudo, la mercantil condenada interpuso demanda de anulación parcial del laudo. Pretendía la anulación de la decisión XI que condenaba a Socialtech, S.R.L., a pagar a la demandante de amparo la penalidad por la violación del pacto de no competencia post-contractual (decisión VI del laudo). Fundaba la impugnación en la contravención del orden público ex art. 41.2 de la Ley de arbitraje (en adelante, LA) y, más concretamente, en la infracción de normas imperativas; en particular, de las normas europeas sobre el Derecho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demandante de amparo Izo Corporate, S.L., se opuso a la demanda, circunscribiendo su defensa frente a los puntos objeto de reproche y de anulación del laudo.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efectuado el señalamiento para deliberación y fallo del tribunal, pero antes de dictarse sentencia, las partes de común acuerdo presentaron un escrito conjunto por el que Socialtech, S.R.L., hacía constar su desistimiento del procedimiento al que Izo Corporate, S.L., prestaba su conformidad, interesando que no se diera condena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de 13 de diciembre de 2018, la Sala de lo Civil y Penal del Tribunal Superior de Justicia de Madrid dictó sentencia, por la que: (i) se denegó la solicitud de sobreseimiento del proceso; (ii) se estima la demanda de anulación planteada por Socialtech, S.R.L., contra el laudo; (iii) se condena en costas a la demandante de amparo; (iv) se condena a la demandante de amparo a abonar las costas del arbitraje, aunque este punto no había sido solicitado por la actora, ni combatido durante el procedimiento de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la resolución del presente recurso de amparo, conviene destacar que, respecto de la solicitud de archivo que realizaron ambas partes de consuno, el órgano judicial afirma con rotundidad que el poder de disposición de las partes sobre el objeto del proceso “se supedita —obvio es decirlo— a que el objeto del juicio, la res in iudicio deducta sea disponible, de forma que la actuación de la voluntad de las partes para poner fin al proceso no contravenga una prohibición o limitación legal por razones de interés general o en beneficio de tercero (art. 19.1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reprocha a las partes que hayan olvidado que “la acción de anulación del laudo no subviene sólo a la satisfacción de sus intereses: la nulidad o la validez de un laudo, una vez suscitada ante el tribunal competente, no es materia disponible: la Sala ya ha establecido con reiteración que no cabe ni el allanamiento, ni la transacción sobre la validez de un laudo […] Qué duda cabe de que existe un interés general, expresado de manera inequívoca por la ley en defensa de la institución misma del arbitraje, en que la sola voluntad de las partes —su libre poder de disposición— no pueda dar lugar a la anulación del laudo […] Postulado que se representa tanto más evidente cuando se repara en la naturaleza que ostenta el laudo, esto es, en su condición de ‘equivalente jurisdiccional’ (reiterada, una vez más, por el Tribunal Constitucional en su reciente STC 1/2018, de 11 de enero): cabalmente, no cabe defender la eliminación del ordenamiento jurídico —por revisión o por declaración de nulidad— de una sentencia firme porque las partes así lo quieran o lo decidan, al margen de las taxativas previsiones de la ley al respecto […] Pues lo mismo se ha de mantener sobre la imposibilidad de convención de las partes en lo que concierne a la nulidad de un laudo […] Como tampoco es declinable —aun cuando medie renuncia o desistimiento— por el tribunal que está conociendo de la acción de anulación su deber de pronunciarse acerca de la validez o la nulidad del laudo cuando así le viene impuesto, en defensa del interés general, por prescripción expresa de la ley para salvaguardar el orden público, el respeto a los límites legal e infranqueablemente impuestos al arbitraje y el derecho de defensa de los litigantes (art. 41.2 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la Sala el desarrollo de su argumento contrario al archivo de la causa, insistiendo en que “no es aceptable la pretensión de poner fin a un proceso de anulación de laudo en el que es objeto de enjuiciamiento, tras la correspondiente alegación y prueba, un motivo de anulación que, por razones de interés general, haya de ser examinado de oficio por este tribunal, cuyo análisis, en tales circunstancias, no puede quedar a lo que resulte del poder de disposición, de los pactos de los litigantes, so pena de vaciar de contenido, contra legem, lo dispuesto en el art. 41.2 LA —que, por cierto, constituye una de las principales novedades de la vigente Ley de arbitraje, por contraste con la de 1988, y es expresión de la armonización de nuestro Derecho con la normativa UNCITRAL. En otros términos: una vez que se incoa un proceso de anulación de laudo arbitral, no se puede disponer por las partes de la acción de anulación, sustrayendo al tribunal el ejercicio de una competencia indeclinable: verificar si concurre o no la lesión de intereses tan generales que la ley no faculta, sino que impone al tribunal el deber de salvaguardarlos de oficio. No entenderlo así, insistimos, sería tanto como vaciar de contenido la prescripción terminante del art. 41.2 LA, que no es dable dejar al albur de la voluntad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expuestos concluye que “no vale decir que las partes ya no tienen interés en que se resuelva acerca de la validez o de la nulidad del laudo: hay un interés público prevalente en que se analice y, en su caso, se depure la permanencia en el ordenamiento de un laudo potencialmente lesivo de derechos fundamentales: en tales situaciones, tratándose de laudos, el poder de disposición de las partes no prevalece sobre el interés público asociado a la resolución de la demanda de anulación que la propia Ley de arbitraje impone al tribunal […] La Sala no duda de que los litigantes, en un momento dado, pueden “perder interés” en la prosecución del proceso por llegar a un acuerdo económico —que es lo que probablemente ha sucedido, y al que nada hay que objetar en el plano inter privatos—; lo que la Sala ha afirmado y afirma es que existe un interés general prevalente que hace que esos acuerdos no puedan ser utilizados —sin perjuicio de la eficacia que puedan tener inter partes— como cobertura fraudulenta —en fraude de ley— para evitar que un tribunal cumpla con el deber indeclinable que le asiste, ope legis, de pronunciarse sobre si el objeto indisponible que ante él se ha sometido —en nuestro caso, la parcial nulidad de un laudo por lesión de derechos fundamentales, principios constitucionales y normas de ius cogens—, debe entenderse existente, o no […] Y no vale decir al respecto, sin subvertir la realidad de las cosas, que lo único que se debate aquí es la validez de un pacto de no competencia post-contractual, lo cual sería ajeno a toda idea de interés general: amén de que esto no es cierto porque, como veremos, las reglas de defensa de la libre competencia preservan intereses generales de primera importancia —con incidencia directa en los derechos de los consumidores—, lo que se ha debatido en la causa, aquello sobre lo que se ha alegado y practicado abundante prueba, es si, con ocasión del contrato de franquicia litigioso, se ha llevado adelante un arbitraje que culmina con un laudo lesivo de los arts. 24.1 y 9.3 CE, y del Derecho de la Unión sobre defensa de la competencia: decir que tales cuestiones no afectan al orden público o, más ampliamente, al interés general en que el arbitraje se desarrolle con las debidas garantías —como “equivalente jurisdiccional” que es—, por el hecho de que se hayan sometido a la consideración de la Sala al hilo de un contrato sobre materia disponible sería tanto, lisa y llanamente, como dar por buena una patente “petición de principio”: por definición, la controversia que se somete a arbitraje ha de versar sobre materias de libre disposición —art. 2.1 LA—, pero esto no significa, con toda evidencia, que lo que suceda en el procedimiento arbitral sea igualmente disponible siempre y en todo caso: un postulado semejante contraviene frontal, clara e inequívocamente la dicción terminante de los arts. 41.1 f) y 41.2 LA, y de los correlativos preceptos de la Ley modelo de la Comisión de las Naciones Unidas para el Derecho Mercantil Internacional (UNCITRAL) y del Convenio de Nueva York de 1958, por citar solo dos ejemplos paradigmáticos de normas internacionales. Por lo demás, el desistimiento que aquí se pretende ha de ser analizado —y tal es el tratamiento procesal que la Sala le viene dando— desde la perspectiva del art. 20 Ley de enjuiciamiento civil (LEC), y no del art. 450 LEC, pues la acción de anulación —nemine discrepante— no es un genuino recurso. Un intento de desistimiento, conclusos los autos para sentencia, aun cuando en puridad ni siquiera es temporalmente posible una vez se haya iniciado la deliberación, ha de ser analizado a la luz de las precedentes reflexiones: aquí, dado el plazo de caducidad de la acción, el desistimiento no afecta solo al proceso —art. 20 LEC—, de modo que el actor pueda promover nuevo juicio sobre el mismo objeto; el desistimiento —como ya dijimos en nuestra Sentencia 14/2017— afecta directamente y con carácter definitivo al enjuiciamiento del thema decidendi, como si de una renuncia a la acción se tratase, de suerte que, atendiendo a la realidad de las cosas —y no a su mera denominación— es inconcuso que ha de recaer —dicho “desistimiento”— sobre un objeto disponible —art. 19.1 LEC—, lo que, como hemos visto,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de destacar el razonamiento seguido por la Sala, al examinar el fondo de la cuestión debatida, y alcanzar la conclusión de que el laudo impugnado incurrió en una violación del orden público del art. 41.2 LA, por motivación arbitraria. Así, declara: “Por supuesto, esta Sala no prejuzga la validez o la nulidad de la cláusula de no competencia post-contractual en el contrato de franquicia suscrito por las partes el 12 de diciembre de 2013: lo que decimos es que la determinación de tal extremo no ha sido analizada ni motivada por el árbitro, de un modo patente, con arreglo a los parámetros de enjuiciamiento legalmente exigibles, de modo que, atendiendo a las reglas de carga de la prueba, pudiese verificar si ese pacto, prima facie, contrario a la libre competencia, había de reputarse, sin embargo, exonerado del alcance de la prohibición. Estamos, pues, ante un caso de motivación arbitraria o, incluso, meramente aparente, que se constituye en ratio decidendi de la decisión impugnada y, que por ello, lesiona el derecho a la tutela judicial efectiva de Socialtech, S.L.U., con la consiguiente infracción del orden público, que lleva a anular —sin perjuicio de lo que acto seguido se dirá—, el apartado tercero de la parte dispositiva del laudo (apartado XI.3)” (pág. 36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advertir que la sentencia contiene un voto particular del presidente de la Sala, en el que manifiesta su discrepancia respecto a la denegación de archivo de la causa, entendiendo que lo correcto habría sido sobreseer, sin imponer las costas a ninguna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la sentencia se promovió incidente excepcional de nulidad de actuaciones, alegando la vulneración del derecho a la tutela judicial efectiva (art. 24.1 CE), causante de indefensión, en su vertiente de derecho a obtener una resolución judicial fundada en derecho, no incursa en irrazonabilidad y arbitrariedad. En el incidente de nulidad se denunció que sólo había dos lecturas de la sentencia para anular el laudo y ambas entrañaban una infracción del deber de congruencia y, en consecuencia, del derecho de defensa. Una opción era que la falta de motivación se tratase de una apreciación ex novo y de oficio, al amparo del art. 41.2 LA (sin dar audiencia, sin embargo, a las partes para pronunciarse, lesionando con ello su derecho de defensa). La otra posibilidad era que el tribunal entendiese que la valoración sobre la concurrencia de motivación del laudo en estos puntos objeto de debate estaba comprendida dentro del concepto de orden público, a pesar de que las partes hubieran circunscrito el debate a la vulneración del orden público exclusivamente en su vertiente de quiebra de normas imperativas, pero nunca por una falta de motivación del laudo, que no se puso en tela de juicio. Igualmente se alegaba la infracción del principio de igualdad ante la ley (art. 14 CE), puesto que, al contrario de lo acaecido en otras ocasiones, la Sala había considerado de oficio que el laudo era contrario al orden público, prescindiendo, por lo demás, del trámite de audiencia a las partes, con lo que se les privó de su derecho a realizar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incidente excepcional de nulidad de actuaciones se resolvió por auto desestimatorio de fecha de 5 de marzo de 2019, no apreciándose vulneración de derecho fundamental alguno. La Sala razona que es lo mismo denunciar que el laudo incurre en una vulneración de normas de la competencia (en concreto, porque el árbitro único no entendió aplicable la normativa europea y esto fue lo estrictamente denunciado por Socialtech, S.R.L.), que considerar que la inaplicación de dicha normativa supone la falta de motivación del laudo. Por otro lado, el auto entiende que no se ha incurrido en incongruencia, porque “la causa de anulación invocada fue la infracción del orden público, que es la apreciada por la Sala”, sin diferenciar entre las distintas violaciones subsumibles dentro del concepto de orden público y su vinculación con normas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se declara: “La arbitraria motivación del laudo que la sentencia estima, sin quiebra alguna del ámbito objetivo del proceso de anulación suscitado por las partes ni la menor indefensión, da la razón a Socialtech, S.R.L., porque el árbitro ni siquiera analizó, como era su deber de acuerdo con el Derecho aplicable elegido por las partes y el sistema de fuentes a él correspondiente […]; razonamiento que hemos juzgado arbitrario por el conjunto de razones expuestas en el FJ 2.3 de la sentencia, puestas en conexión con los parámetros de enjuiciamiento previamente reseñados en ese mismo FJ 2” (página 5, FJ 2 del auto). Y más adelante, se afirma que: “En este contexto argumentativo, de yerro patente sobre el ámbito de aplicación del Derecho de la Unión y de radical falta de análisis de si el pacto de no competencia post-contractual aquí litigioso era inválido […]” (FJ 4 del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Izo Corporate, S.L., denuncia en su demanda de amparo la concurrencia de varias vulneraciones de derechos fundamentales, que imputa tanto al auto de 5 de marzo de 2019, que desestimó el incidente de nulidad promovido por la demandante de amparo, como la sentencia de 13 de diciembre de 2018, que anuló parcialmente el laudo emitido por la Cámara de Comercio Internacional, ambos de la Sala de lo Civil y Penal del Tribunal Superior de Justicia de Madrid. Los derechos fundamentales que se entienden vulnerados por las resoluciones impugnadas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del derecho del art. 24.1 CE, relativo a la tutela judicial efectiva en sus vertientes del derecho a una sentencia congruente, la prohibición de arbitrariedad e indefensión y la garantía del derecho de defensa. Para la demandante de amparo, con cita de nuestra STC 20/1982, de 5 de mayo, extender el principio iura novit curia hasta entender que cualquier causa subsumible en la noción de orden público puede ser reconocida como parte del objeto procesal, implica una desviación del debate procesal, constitutiva de una incongruencia incontestable, infractora de la más elemental contradicción y, por tanto, del derecho fundamental de defensa expresivo de la tutela judicial efectiva (art. 24.1 CE). Sostiene, por lo demás, que, en el ordenamiento jurídico español, la motivación del laudo no es una cuestión de orden público y que, en todo caso, el árbitro motivó la validez e incumplimiento del pacto de no competencia post-contractual (desde el párrafo 258 hasta el 287 del laudo), demostrando el órgano judicial en su sentencia tan solo que no comparte la interpretación acogida por el árbitro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Vulneración del art.14 CE, relativo al derecho a la igualdad ante la ley, por no haber dado trámite de audiencia para que las partes se pronunciaran sobre la arbitraria motivación del laudo apreciada de oficio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Vulneración del art. 24.1 CE, relativo a la tutela judicial efectiva, en sus vertientes de derecho a una sentencia congruente, de interdicción de la arbitrariedad y vulneración del fundamental derecho de igualdad ante la ley (art. 14 CE), por la falta de admisión del desistimiento y el archivo de la causa; algo, por lo demás, que la demandante de amparo entiende novedoso en la jurisprudencia arbitral española y que supone una modificación de la doctrina mantenida hasta el momento por el propio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Vulneración del derecho consagrado en el art. 24.1 CE, relativo a la tutela judicial efectiva, en sus vertientes relativas al derecho a una sentencia congruente y de interdicción de la arbitrariedad, por la anulación de los puntos 4 y 5 del apartado XI del laudo por incongruencia extra petita, pues nunca se solicitó la nulidad del laudo en materia de costas del arbitraje y, sin embargo, el Tribunal Superior de Justicia de Madrid se pronunció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Se denuncia, por último, que la sentencia y el auto impugnados vulneran el fundamental derecho a la tutela judicial efectiva, en su vertiente de interdicción de la arbitrariedad, por afirmar que las normas europeas de Derecho de la competencia son normativa imperativa infringida cuando, sin embargo, el ámbito de aplicación del compromiso cae, por pacto, fuera del mercado europeo (siendo este, por lo demás, un hecho pacífico en la disputa arbitral y en el laudo).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junio de 2020, la Sección Cuarta de este tribunal acordó la admisión a trámite del recurso de amparo, tras apreciar que en el mismo concurre una especial trascendencia constitucional [art. 50.1 de la Ley Orgánica del Tribunal Constitucional (LOTC)], porque plantea un problema o afecta a una faceta de un derecho fundamental sobre el que no hay doctrina de este tribunal [STC 155/2009, FJ 2 a)], así como porque trasciende del caso concreto y plantea una cuestión jurídica de relevante y general repercusión social o económica [STC 155/2009, FJ 2 g)]. De conformidad con lo dispuesto en el art. 51 LOTC, se acordó dirigir atenta comunicación a la Sala de lo Civil y Penal del Tribunal Superior de Justicia de Madrid para que, en un plazo no superior a diez días, remitiera certificación o copia adverada de las actuaciones correspondientes al procedimiento de nulidad de laudo arbitral núm. 45-2018 y procediera al emplazamiento de quienes hubieran sido parte en el proceso, excepto la parte recurrente en amparo,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29 de septiembre de 2020, se tienen por recibidos los testimonios de las actuaciones remitidos por la Sala de lo Civil y Penal del Tribunal Superior de Justicia de Madrid. Con arreglo al art. 52 LOTC, se concedió al Ministerio Fiscal y a la demandante de amparo Izo Corporate, S.L., el plazo común de veinte días para que, con vista de las actuaciones, formulase las alegaciones que tuviera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3 de noviembre de 2019, tuvo entrada en este tribunal el escrito de alegaciones de la mercantil Izo Corporate, S.L., en el que, ratificándose íntegramente en el recurso de amparo presentado, interesa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noviembre de 2020, tuvo entrada en este tribunal el escrito de alegaciones del fiscal ante el Tribunal Constitucional. En él se interesa la estimación del recurso de amparo, imputando la vulneración del derecho a la tutela judicial efectiva (art. 24.1 CE) a la sentencia de fecha de 13 de diciembre de 2018 y al auto de fecha de 5 de mayo de 2019, dictados en el procedimiento de nulidad de laudo arbitral núm. 45-2018, seguido ante la Sala de lo Civil y Penal del Tribunal Superior de Justicia de Madrid, con nulidad de todo lo actuado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comienza sus alegaciones sistematizando las vulneraciones del derecho a la tutela judicial efectiva e igualdad, invocadas por la demandante de amparo, referidas, en primer lugar, a la necesidad de motivación de los laudos arbitrales y a la posibilidad de su control judicial como cuestión de orden público (ex art. 41 LA), subrayando que, siguiendo la doctrina de este tribunal, el criterio de análisis más racional es el de examinar primero aquella causa que suponga la mayor retroacción de efectos en el tiempo, pues anulado lo previo, ya no es necesario examinar lo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fiscal entiende que el enjuiciamiento que debe realizarse en el presente recurso de amparo ha de concentrarse en el examen de la sentencia impugnada, pues el auto de desestimación del incidente excepcional de nulidad de actuaciones, al fin y al cabo, confirma en su totalidad aquel pronunciamiento. Por lo demás, en el análisis de la sentencia impugnada, a su juicio, la valoración debe concretarse, antes de nada, en la denegación de la petición de archivo de la causa formulada conjuntamente por ambas partes. Defiende que, haciéndolo de este modo, se producirá un efecto superior en cuanto a la fuerza anuladora de la sentencia de amparo, ya que si se concluye que la Sala de lo Civil y Penal del Tribunal Superior de Justicia de Madrid hubiera admitido esa petición, las otras decisiones que también se cuestionan, no habrían existido.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este primer motivo de amparo, el fiscal apoya el otorgamiento del amparo. Subraya cómo muy recientemente este tribunal, en la STC 46/2020, de 15 de junio, se ha pronunciado sobre un asunto similar, declarando que la decisión de no proceder al archivo de un procedimiento de anulación del laudo, cuando las partes de común acuerdo así lo solicitan “es, cuando menos, irrazonable y vulnera el derecho a la tutela judicial efectiva sin indefensión (art. 24.1 CE)” (FJ 4). Así, en esta resolución se explicó muy claramente que “la petición de archivo pretende poner de relieve la pérdida de interés en proseguir con el procedimiento de anulación, como consecuencia del acuerdo alcanzado; la conclusión de los autos recurridos es forzada dado que, en efecto, el objeto del arbitraje fue decidido ya en el laudo, pero lo que parece incontrovertible es que es la voluntad de evitar la ejecución del laudo y de obtener su revocación lo que justifica el procedimiento de anulación. En consecuencia, no se puede afirmar de manera tan categórica que las partes no puedan alcanzar un acuerdo posterior al laudo ni que, de dicho acuerdo, no se pueda entender que tanto demandante como demandada decaigan en su interés en seguir litigando. Mediante tal línea argumentativa se llega a negar el carácter subjetivo de los derechos que se ejercen en el proceso de anulación de laudos, otorgando a las partes tan solo el poder de desencadenar el proceso, pero sin poder hacer valer, a posteriori, los cambios sobrevenidos que afecten a su interés para obtener la sentencia. Por el contrario, ha de entenderse que ello entra dentro del terreno del poder de disposición de las partes en un proceso civil, como lo es el proceso de anulación del laudo arbitral, sin que exista norma legal prohibitiva a dicho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la sentencia ahora impugnada, la Sala de lo Civil y Penal del Tribunal Superior de Justicia de Madrid, a pesar de que esta doctrina nace precisamente de la impugnación en amparo de una de sus sentencias, de nuevo, deniega el archivo de la causa con la excusa de llevar a cabo el control judicial del orden público ex art. 41.2 LA. En tal sentido, explica el Ministerio Fiscal que si bien es cierto que la protección del orden público del art. 41.2 LA y la del interés general ex art. 22.1 LEC corresponde a los órganos judiciales, ello no significa que no exista la posibilidad de desistimiento de la acción por las partes. Sólo están prohibidos los acuerdos que perjudiquen a tercero, que versen sobre materias indisponibles o que afecten al interés general y, en este caso, “no hay una prohibición legal respecto al proceso de anulación de laudo, ni provoca ningún perjuicio a tercero, y no vemos el interés general que se ha visto garantizado al anular el laudo, anulación que sólo va a producir efectos respecto a las partes, o ni siquiera a ellas que ya han alcanzado una solución al margen del laudo y del arbitrio”.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fiscal se pronuncia sobre la alegada vulneración del derecho a la tutela judicial efectiva (art. 24.1 CE), en su vertiente de derecho a la motivación de las resoluciones judiciales, en tanto que la Sala de lo Civil y Penal del Tribunal Superior de Justicia de Madrid ha entrado a examinar la motivación del laudo, por entender que forma parte de su deber de control del orden público ex art. 41.2 LA. El juicio de la fiscalía sobre este punto es claro: la motivación de los laudos debe quedar extramuros de la revisión judicial, ya que lo contrario desvirtuaría la propia naturaleza de la institución arbitral, con el riesgo, ya advertido en la STC 46/2020, de 15 de junio, FJ 3, de ampliar indebidamente el concepto de orden público. A pesar de ello, el órgano judicial ha analizado en su sentencia los motivos del árbitro para descartar la aplicación de la normativa europea al supuesto planteado, entendiendo que debió aplicarla y cómo debió hacerlo. Ahora bien, en este punto, sin embargo, el fiscal no aprecia la lesión del derecho fundamental alegado, pues aunque puede verse lo que califica de “un cierto afán expansivo de la noción de orden público”, el argumento del órgano judicial, en realidad, tan sólo se dirige a justificar la incorrección de la decisión del árbitro de prescindir de las normas de ius cogens, lo que no puede tacharse de irrazonable 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denunciada vulneración del principio de igualdad ante la ley (art. 14.1 CE), consistente en haberse analizado de oficio la infracción del orden público (ex art. 41.2 LA), sin dar audiencia a las partes, el fiscal la rechaza abiertamente. Comparte, en este sentido, el razonamiento del órgano judicial expresado en el auto de 5 de marzo de 2019, que desestimó el incidente excepcional de nulidad de actuaciones, por cuanto fue la demandante quien introdujo el debate sobre la observancia por el laudo del orden público, al no haber aplicado las normas imperativas europeas y, por lo tanto, Izo Corporate, S.L., pudo defenderse de esta argumentación, como de hecho lo hizo, expresando las razones por las que entendía que no debían aplicarse.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siguiente motivo de amparo que analiza el Ministerio Fiscal es el referido a la vulneración del derecho a la tutela judicial efectiva (art. 24.1 CE), en su vertiente de incongruencia extra petita, por haberse dejado sin efecto en la sentencia la condena al pago de los gastos y costas (puntos 4 y 5 del apartado XI del laudo), cuando tal petición no había sido solicitada en la demanda de anulación. Para el fiscal, este motivo no debe prosperar, pues lo discutido, tanto en sede arbitral como en sede judicial, no fue la condena a pagar las facturas debidas, sino la vigencia de la cláusula penal pactada por competencia desleal. Por consiguiente, a su juicio, es lógico que el reconocimiento que hace el árbitro de esta petición lleve aparejada tales consecuencias accesorias, como igualmente congruente es que la sentencia impugnada se pronuncie justamente en sentido contrario, declarando que dado que es improcedente el pago de la cláusula penal, también lo es la de los gastos y costas como obligaciones accesorias a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para el fiscal, debe ser rechazada la denuncia sobre arbitrariedad e incongruencia (art. 24.1 CE), en las que habría incurrido el órgano judicial en su motivación sobre la aplicabilidad de las normas europeas sobre defensa de la competencia –que provocaría en el caso concreto que no fuera aplicable la cláusula de penalización-. A su juicio, la Sala no invadió la competencia exclusiva de las partes de fijar el objeto del pleito, sino que se limitó a desarrollar lo que el laudo había dejado sin resolver o –a entender de la Sala- lo había hecho de modo insuficiente y erróneo. En este extremo, en opinión del Ministerio Fiscal, la decisión del órgano judicial podrá ser o no compartida pero, desde un mero control externo que es el que deberá llevar a cabo este Tribunal, no puede tacharse de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todos los motivos expuestos, el fiscal solicita que se proceda a otorgar el amparo, a declarar vulnerado el derecho a la tutela judicial efectiva de la mercantil demandante de amparo y a anular las resoluciones impugnadas con retroacción al momento anterior a dictarse.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marzo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sentencia de fecha de 13 de diciembre de 2018, así como el auto de 5 de marzo de 2019, ambos de la Sala de lo Civil y Penal del Tribunal Superior de Justicia de Madrid, recaídos en el procedimiento de nulidad de laudo arbitral núm. 45-2018.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recurrente, la anulación del laudo arbitral por la arbitraria motivación del mismo que ha realizado el órgano judicial, vulneró su derecho a la tutela judicial efectiva (art. 24.1 CE), en su vertiente de derecho a una resolución motivada no incursa en irrazonabilidad o arbitrariedad. Así, sostiene que en el supuesto sometido a la consideración del órgano judicial, el art. 41.2 de la Ley 60/2003, de 23 de diciembre, de arbitraje (en adelante, LA) no incluye el control de la motivación del laudo arbitral y que la anulación del laudo por arbitraria motivación se ha producido, porque el órgano judicial ha impuesto a los laudos el canon de control de motivación que le es aplicable a las resoluciones judiciales, sosteniendo erróneamente que un laudo que no supere dicho canon es contrario al orden público. Insiste en que en el arbitraje no tiene asiento el deber de motivación propio de la tutela judicial efectiva (art. 24.1 CE), así como que la motivación del laudo no es cuestión de orden público, por lo que no puede anularse por insuficiente motivación. Igualmente se impugna el auto de fecha de 22 de mayo de 2018, que desestima el incidente excepcional de nulidad de actuaciones, al no haber reparado las lesiones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queja añade otras cuatro más que, resumidamente, son: (i) la vulneración del art.14 CE, relativo al derecho a la igualdad ante la ley, por no haber dado trámite de audiencia para que las partes se pronunciaran sobre la arbitraria motivación del laudo, apreciada de oficio por la Sala; (ii) la infracción del art. 24.1 CE, relativo a la tutela judicial efectiva, en sus vertientes de derecho a una sentencia congruente, de interdicción de la arbitrariedad y vulneración del fundamental derecho de igualdad ante la ley (art. 14 CE), por la falta de admisión del desistimiento y el archivo de la causa, algo, por lo demás, novedoso en la jurisprudencia arbitral española, que supone una modificación de la doctrina mantenida hasta el momento por el propio órgano judicial; (iii) la violación del derecho consagrado en el art. 24.1 CE, relativo a la tutela judicial efectiva, en sus vertientes relativas al derecho a una sentencia congruente y de interdicción de la arbitrariedad, por la anulación de los puntos 4 y 5 del apartado XI del laudo por estar fuera del objeto procesal (incongruencia extra petita), pues nunca se solicitó la nulidad del laudo en materia de costas del arbitraje y el Tribunal Superior de Justicia de Madrid, sin embargo, se han pronunciado al respecto; y, (iv) por último, se denuncia que la sentencia y el auto impugnados vulneran el fundamental derecho a la tutela judicial efectiva, en su vertiente de interdicción de la arbitrariedad, por afirmar que las normas europeas de Derecho de la competencia son normativa imperativa infringida cuando, sin embargo, el ámbito de aplicación del compromiso cae, por pacto, fuera del mercado europeo (siendo este, por lo demás, un hecho pacífico en la disputa arbitral y en el laudo).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entiende que debe estimarse el recurso de amparo. Advierte que en el presente caso el enjuiciamiento que debe realizarse ha de ceñirse al examen de la sentencia impugnada, pues el auto de desestimación del incidente excepcional de nulidad de actuaciones tan sólo confirma aquel pronunciamiento. Dentro del análisis de la sentencia, primero, debe enjuiciarse la denegación de la petición de archivo de la causa formulada conjuntamente por ambas partes, porque de este modo, se produciría un efecto superior en cuanto a su fuerza anuladora, ya que si la Sala de lo Civil y Penal del Tribunal Superior de Justicia de Madrid hubiera decidido admitir esa petición, las otras decisiones que también se cuestionan en este recurso de amparo, no habrían existido.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este motivo de amparo, el fiscal solicita el otorgamiento del amparo. Para apoyar su decisión se apoya en nuestra reciente STC 46/2020, de 15 de junio, FJ 4, en la que declaramos, en un asunto muy similar que también concernía a una sentencia de ese mismo órgano judicial, que la decisión de no proceder al archivo del procedimiento de anulación del laudo, cuando las partes de común acuerdo así lo solicitan es, cuando menos, irrazonable y vulnera 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entiende que por lo que respecta a la vulneración del derecho a la tutela judicial efectiva (art. 24.1 CE), en su vertiente de derecho a la motivación de las resoluciones judiciales, en tanto que la sentencia impugnada ha entrado a examinar la motivación del laudo al estimar que forma parte de su deber de control del orden público ex art. 41.2 LA, el Ministerio Fiscal, si bien subraya que la motivación de los laudos debe quedar extramuros de la revisión judicial, no aprecia la lesión del derecho fundamental alegado, pues aunque puede verse en el razonamiento del órgano judicial lo que califica de “un cierto afán expansivo de la noción de orden público”, tal argumento tan sólo se dirige a justificar la incorrección de la decisión del árbitro de prescindir de las normas de ius cogens, lo que no puede tacharse de irrazonable 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resto de vulneraciones, el fiscal descarta su existencia, tal como ha quedado señalado en los antecedentes de hecho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concluyendo que las resoluciones judiciales impugnadas en el presente recurso de amparo han incurrido en la vulneración de la tutela judicial efectiva (art. 24.1 CE), por motivación irrazonable, al no haberse procedido al archivo de la causa tras el desistimiento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Sistemática del análisis de las vulneraciones alegadas por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entrar a valorar el fondo del asunto, debemos pronunciarnos antes de nada sobre las alegaciones del Ministerio Fiscal, relativas a la necesidad de concretar las vulneraciones de derechos fundamentales invocadas en el recurso de amparo, que han sido múltiples, así como sobre las resoluciones judiciales afectadas por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comparte con el fiscal la idea de que el enjuiciamiento que debe realizarse en el presente recurso, ha de ceñirse al examen de la sentencia de 13 de diciembre de 2018, dado que el auto de 5 de marzo de 2019, en definitiva, ratifica sus argumentos y, por ello, desestima el incidente excepcional de nulidad de actuaciones planteado contra aquella sentencia. Ahora bien, en caso de que se llegara al convencimiento de que con el dictado de la sentencia se ha producido alguna de las vulneraciones de derechos fundamentales alegados por la demandante de amparo, los efectos de tal declaración se extenderían a dicho auto, al haber persistido el órgano judicial en su planteamiento y no haber restablecido el derecho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al analizar sentencia impugnada, tal como propone el Ministerio Fiscal, nuestro primer enjuiciamiento debe versar sobre la posible vulneración del derecho a la tutela judicial efectiva (art. 24.1 CE), causada por la denegación de la petición de archivo de la causa formulada conjuntamente por ambas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procediendo de forma ordenada y coherente, se observa que conforme a la lógica de la “mayor retroacción”, si valoramos, en primer lugar, este motivo de amparo, se producirá, en caso de estimarse la vulneración del derecho fundamental, un efecto superior en cuanto a su fuerza anuladora, ya que si este tribunal alcanza la conclusión de que la Sala de lo Civil y Penal del Tribunal Superior de Justicia de Madrid debió haber admitido la petición de archivo, ya no será necesario examinar el resto de decisiones que se cuestionan en este recurso de amparo. En consecuencia, procederemos, en primer término, a examinar la queja relativa a la denegación del archivo de la causa, asegurando con ello no solo la más amplia tutela de los derechos fundamentales, sino también su correspondencia con los motivos que confieren especial trascendencia constitucional al presente recurso de amparo (SSTC 152/2015, de 6 de julio, FJ 3, y 56/2019, de 6 de mayo,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posibilidad de desistimiento en el procedimiento de impugnación del laudo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primera de las cuestiones planteadas, ya se ha dicho, debe partir necesariamente de la queja relativa a la posible vulneración del derecho a la tutela judicial efectiva (art. 24.1 CE), en su vertiente de derecho a una resolución motivada no incursa en irrazonabilidad o arbitrariedad por la negativa del órgano judicial a archivar el procedimiento, una vez que las partes alcanzaron un acuerdo sobra la resolución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ella, debemos compartir la posición de la demandante de amparo y del Ministerio Fiscal. Como sucedió en el asunto que dio lugar a nuestra STC 46/2020, de 15 de junio, a la que en este momento nos remitimos, hemos de afirmar que ha sido, de nuevo, una interpretación extensiva e injustificada del concepto de orden público contenido en el art. 41.1 f) LA, realizada por la Sala de lo Civil y Penal del Tribunal Superior de Justicia de Madrid, la que ha impedido a los recurrentes ejercer su derecho de disposición sobre el objeto del proceso de anulación del laudo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no puede más que reiterar lo declarado en aquella STC 46/2020, de 15 de junio, FJ 4, esto es, que “debe reputarse contrario al derecho a la tutela judicial efectiva de los recurrentes el razonamiento del órgano judicial que niega virtualidad a un acuerdo basado en el poder dispositivo de las partes sin que medie norma prohibitiva que así lo autorice, imponiendo una decisión que subvierte el sentido del proceso civil y niega los principios en que se basa, en concreto, el principio dispositivo o de justicia 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insistimos, es clara y no requiere de distinta, ni de mayor argumentación que la ofrecida en la STC 46/2020: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razonado [por la Sala], la petición de archivo pretende poner de relieve la pérdida de interés en proseguir con el procedimiento de anulación, como consecuencia del acuerdo alcanzado; la conclusión de los autos recurridos es forzada dado que, en efecto, el objeto del arbitraje fue decidido ya en el laudo, pero lo que parece incontrovertible es que es la voluntad de evitar la ejecución del laudo y de obtener su revocación lo que justifica el procedimiento de anulación. En consecuencia, no se puede afirmar de manera tan categórica que las partes no puedan alcanzar un acuerdo posterior al laudo ni que, de dicho acuerdo, no se pueda entender que tanto demandante como demandada decaigan en su interés en seguir litigando. Mediante tal línea argumentativa se llega a negar el carácter subjetivo de los derechos que se ejercen en el proceso de anulación de laudos, otorgando a las partes tan solo el poder de desencadenar el proceso, pero sin poder hacer valer, a posteriori, los cambios sobrevenidos que afecten a su interés para obtener la sentencia. Por el contrario, ha de entenderse que ello entra dentro del terreno del poder de disposición de las partes en un proceso civil, como lo es el proceso de anulación del laudo arbitral, sin que exista norma legal prohibitiva a dicho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recordemos que el proceso civil regulado en la Ley 1/2000, de 7 de enero, se inspira en el principio básico de disposición de las partes para regular sus intereses privados o, lo que es lo mismo, para iniciar la actividad jurisdiccional, determinar el objeto del proceso y ponerle fin en el momento que estimen conveniente, sin necesidad de esperar a la sentencia y siempre que la relación jurídica discutida responda únicamente a una naturaleza subjetiva-privada. A este principio dispositivo hace referencia el art. 19 LEC, que se encuadra dentro del capítulo IV, cuyo título, ‘Del poder de disposición de las partes sobre el proceso y sobre sus pretensiones’, pone ya de relieve cuál es la clave sustancial sobre la que gira el proceso civil. La misma exposición de motivos se expresa en estos términos al declarar que ‘la nueva Ley de enjuiciamiento civil sigue inspirándose en el principio de justicia rogada o principio dispositivo, del que se extraen todas su razonables consecuencias, con la vista puesta, no solo en que, como regla general, los procesos civiles persiguen la tutela de derechos e intereses legítimos de determinados sujetos jurídicos, a los que corresponde la iniciativa procesal y la configuración del objeto del proceso, sino en que las cargas procesales atribuidas a estos sujetos y su lógica diligencia para obtener la tutela judicial que piden, pueden y deben configurar razonablemente el trabajo del órgano jurisdiccional en beneficio de todos. De ordinario, el proceso civil responde a la iniciativa de quien considera necesaria una tutela judicial en función de sus derechos e intereses legítimos’. Es cierto que la forma natural de finalización del proceso civil es mediante sentencia dictada como consecuencia de un debate contradictorio entre las partes, lo que presupone que el conflicto persiste hasta el final del proceso. Ahora bien, fruto precisamente de ese poder de disposición de las partes que consagra el principio dispositivo, el proceso puede finalizar antes de dictarse sentencia a través de una resolución judicial que, sin entrar a resolver sobre el fondo del asunto, refleje la voluntad de las partes de ponerle fin, por no subsistir el interés legítimo que subyace en la pretensión de 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tratarse de un principio básico que rige el régimen jurídico del proceso civil, las decisiones recurridas […] parten del error de entender que la voluntad de las partes se dirigía a disponer del objeto del procedimiento de anulación (que se integra por las causas de nulidad invocadas), del cual las partes no pueden disponer libremente cuando está presente un elemento de orden público —lo cual es un argumento correcto—. Por el contrario, resulta obvio que la pretensión era la de manifestar a la sala su ausencia de interés en proseguir con el litigio, al haber obtenido un acuerdo sobre las obligaciones patrimoniales reconocidas en el laudo, cuyo carácter de derecho privado patrimonial no se discute y de ahí su petición de archivo del proceso. En este punto, este tribunal comparte el argumento de los recurrentes y del Ministerio Fiscal […]. Las decisiones recurridas no deslindan el terreno del litigio subyacente (aún pendiente, a pesar de la existencia de un laudo, pues de otro modo no tendría sentido la búsqueda de un acuerdo extrajudicial) del objeto del procedimiento de anulación, obviando que son presupuestos de la estimación de la demanda no solo la existencia del vicio de anulación que se invoca, sino también la existencia del interés legítimo, cuestión esta que pertenece al estricto ámbito subjetivo de las partes, máxime cuando no se acredita la existencia de intereses de terceros en juego. Por esa razón, con independencia de que la causa de pedir de la anulación afecte al orden público o no, es lo cierto que la cuestión de fondo es jurídico-privada y disponible, por lo que, en nuestro sistema procesal civil, para que haya una decisión, se requiere que las partes acrediten su interés en litigar. Podría discutirse la cuestión en caso de petición unilateral de una de las partes, controvertida por la contraria. Pero, en el presente recurso de amparo, demandantes y demandados pidieron al unísono el archivo (desistimiento) del proceso como consecuencia de la pérdida de interés en seguir litigando tras alcanzar el acuerdo transaccional”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observamos que las partes, estando pendiente aún el proceso anulatorio, alcanzaron un acuerdo extrajudicial, lo que es perfectamente admisible, y Socialtech, S.R.L., desistió del procedimiento, lo que igualmente es admisible, según lo dispuesto en el art. 20 LEC. Como acertadamente expresa el voto particular de la sentencia impugnada y comparten tanto el Ministerio Fiscal, como la demandante de amparo, en este caso no existe un interés público ni privado afectado por el desistimiento. Pero lo que aún es más importante y sobre lo que debemos hacer hincapié: el pronunciamiento judicial sobre el desistimiento precede necesariamente al análisis de una posible vulneración del orden público ex art. 41.2 LA, por lo que el órgano judicial no puede ampararse en su deber de velar por el orden público y por el interés general para rechazar una solicitud de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cabe rechazar la existencia de un fraude de ley, que el órgano judicial concreta en la intención de las partes de eludir el control judicial del laudo y obstaculizar su deber de garantizar el cumplimiento de los derechos que integran el orden público, pues como bien se afirma en el voto particular referido y este tribunal comparte, el cierre anticipado de este procedimiento no creaba una situación contraria a la ley, ni producía perjuicios para intereses públicos, ni privados. La razón es sencilla: “el laudo resuelve un conflicto entre particulares y los criterios aplicados en el laudo, aunque fueran erróneos […] no crean un precedente de obligado cumplimiento, ni tienen mayor repercusión que entre las partes de este procedimiento. El interés, por tanto, que subyace en el rechazo del desistimiento se contrae al propio interés de esta Sala de pronunciarse sobre las cuestiones debatidas por las partes, a pesar de la nula intención de estas, lo que no puede considerarse un interés público legítimo, y más aún cuando contaría las reglas de disposición del proceso civil y puede incluso crear un conflicto entre los litigantes, más que solucionarlo, como es el fin del proceso, al alterar los acuerdos a los que han llegado e imponer a una de las partes las costas del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este tribunal entiende que la decisión del órgano judicial de no proceder al archivo de la causa fue contraria al canon de razonabilidad de las resoluciones judiciales y, por ello, vulneró el derecho fundamental de la demandante de amparo Izo Corporate, S.L., a la tutela judicial efectiva (art. 24.1 CE). Así pues, procede la anulación de ambas resoluciones judiciales impugnadas, debiendo remontarse la retroacción de las actuaciones al momento anterior a dictarse la sentencia de 13 de diciembre de 2018, que rechazó archivo del procedimiento, por desistimiento de Socialtech, S.R.L., solicitado por las partes demandante y demandada en el procedimiento de anulación de laudo arbitral núm. 45-2018.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mercantil Izo Corporate,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sus derechos y, a tal fin, declarar la nulidad de la sentencia de 13 de diciembre de 2018 y el auto de 5 de marzo de 2019, ambos de la Sala de lo Civil y Penal del Tribunal Superior de Justicia de Madrid, dictada en el procedimiento de nulidad de laudo arbitral núm. 45-2018.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primera resolución citada para que se resuelva de forma respetuosa con los derechos fundamentales cuya vulneración se declara.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