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5368-2020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5368-2020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10 de febrero de 2021 que acordó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Reponer las actuaciones al momento anterior a dictarse la providencia anulada a fin de que se dicte otra que, a tenor de lo expuesto en el fundamento jurídico único de esta resolución, se pronuncie sobre su admisibilidad.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noviembre de 2020, la entidad Euroinversiones Inmobiliarias Costa Sur, S.L., representada por la procuradora de los tribunales doña Blanca Berriatua Horta y bajo la dirección del Letrado don Marcelino Gilabert García, interpuso recurso de amparo contra los autos de 21 de septiembre de 2018 y de 29 de septiembre de 2020, dictados por el Juzgado de Primera Instancia e Instrucción núm. 5 de Lorca, en el procedimiento de ejecución hipotecaria núm. 290-2018,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290-2018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servicio de notificaciones de la Fábrica Nacional de Moneda y Timbre remitió a la demandante de amparo, a través de la dirección electrónica habilitada, un aviso de notificación que le fue comunicado por dicho medio el 21 de mayo de 2018. En dicha comunicación se informa que la notificación estará disponible hasta el 6 de julio del mismo año. Según consta en el certificado remitido por el servicio de soporte del servicio de notificaciones electrónicas y dirección electrónica habilitada, la notificación fue aceptada el 6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18 de julio de 2018. Por auto de 21 de septiembre de 2018 se acordó su inadmisión por considerar la pretensión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21 de mayo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21 de mayo hasta el 6 de julio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29 de septiembre de 2020. Según esta resolución, “en fecha 21 de mayo de 2018 se notificó y requirió en legal forma a la demandada a través de la sede judicial electrónica al ser persona jurídica, la remisión fue correcta y no es hasta el día 18 de julio de 2018 cuando se presenta la oposición, claramente fuera del plazo de los diez días que se le concede a la parte ejecutada para presentar su oposición. Es por lo que se inadmitió la misma y por lo que el recurso ha de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a cuyo tenor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Señala que el auto recurrido vulnera el art. 24 CE teniendo en cuenta que la cuestión ya había sido resuelta por el Tribunal Constitucional, en numerosas sentencias en casos exactamente iguales a este, e incluso respecto a resoluciones del mismo Juzgado de Primera Instancia e Instrucción núm. 5 de Lorca; y así, cita las SSTC 40/2020, de 27 de febrero; 77/2020, de 29 de junio, y 130/2020, de 21 de septiembre. Reproduce también la STC 47/2019, de 8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Justifica la especial trascendencia constitucional, aludiendo al hecho de que esta cuestión ya ha sido resuelta por el Tribunal Constitucional en numerosas sentencias, en las que ha sido parte la mercantil Euroinversiones Inmobiliarias Costa Sur, S.L., resolviendo el Tribunal Constitucional en el sentido de que el primer emplazamiento o citación al demandado debe hacerse en papel y en su domicilio, de conformidad con el art. 155 LEC. Así, señala que, entre otras, lo ha resuelto el Pleno del Tribunal Constitucional en su sentencia 40/2020, de 27 de febrero, y la Sala Segunda en su sentencia 43/2020, de 9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la suspensión de la continuación del procedimiento de ejecución hipotecaria hasta que sea resuelto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febrero de 2021, la Sección Primera de este tribunal acordó no admitir a trámite el recurso de amparo por no apreciar en el mismo la especial trascendencia constitucional que, como condición para su admisión, requiere el art. 50.1 b) de la Ley Orgánica del Tribunal Constitucional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con fecha 23 de febrero de 2021, interpuso recurso de súplica ex art. 50.3 de la Ley Orgánica del Tribunal Constitucional (LOTC) contra la providencia de 10 de febrero de 2021, en el que interesó que se dejara sin efecto la providencia indicada, dictándose otra en su lugar admitiendo el recurso de amparo. Para el fiscal son dos las razones por las que el Tribunal Constitucional debería replantearse la apreciación de la trascendencia constitucional. La primera es la existencia de otras demandas admitidas por las Salas Primera y Segunda de este Tribunal Constitucional con contenido sustancialmente idéntico al de la presente demanda. La identidad subjetiva y el planteamiento idéntico de las cuestiones alegadas trae consigo una contradicción lesiva de la seguridad jurídica, lo que abonaría la necesidad de abordar todas las demandas con un tratamiento único para llegar a una solución común y homogénea. El Ministerio Fiscal argumenta en su recurso que el contenido de la demanda es idéntico al de otras muchas interpuestas por la misma demandante o por Penrei Inversiones, S.L., contra resoluciones idénticas de diversos juzgados de primera instancia e instrucción de Lorca, siendo tales demandas de amparo admitidas al apreciarse su especial trascendencia constitucional, habiéndose resuelto varios de dichos recursos estimando la demanda y acordado la nulidad de las resoluciones objeto de amparo. Afirma que desde la sentencia del Pleno 40/2020, de 27 de febrero, se han ido sucediendo múltiples pronunciamientos en igual sentido. Indica que en este caso, en el que la demanda de amparo tiene su origen en el auto de 21 de septiembre de 2018 de inadmisión a trámite por extemporánea de la oposición a la ejecución y en el auto de 29 de septiembre de 2020 interpuesto contra la anterior resolución, conviene resaltar la fecha de este último auto, que es posterior a las SSTC 77/2020, de 20 de junio; 94/2020, de 20 de julio, y 130/2020, de 21 de septiembre, todas ellas estimando el amparo también demandado contra idénticas resoluciones dictadas por el mismo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razón es que, a juicio del fiscal, el juez incurre en una negativa manifiesta del deber de acatamiento de la doctrina del Tribunal Constitucional, pues cuando el juzgado desestima el recurso de reposición, el Tribunal Constitucional ya había sentado doctrina en su sentencia 40/2020, y había anulado resoluciones de idéntico contenido dictadas por el propio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24 de febrero de 2021, se acordó dar traslado del recurso a la representación del recurrente y concederle un plazo de tres días a fin de que alegara lo que estime pertinente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parte recurrente formuló alegaciones mediante escrito registrado el 2 de marzo de 2021, en el que manifiesta su plena conformidad con el recurso de súplica interpuesto por el Ministerio Fiscal y solicita a este tribunal que dicte una resolución estimatoria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estimar el recurso de súplica interpuesto por el Ministerio Fiscal y dejar sin efecto, en consecuencia, la providencia de esta Sección de 10 de febrero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dos las razones por las que el Ministerio Fiscal considera que este recurso de amparo presenta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primera razón es la existencia de otras demandas admitidas por la Sala Primera y Segunda de este Tribunal Constitucional, con un contenido sustancialmente idéntico al de la presente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como ya se ha afirmado por este tribunal, tras la reforma llevada a cabo por Ley Orgánica 6/2007, de 24 de mayo,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la que el recurso estaba orientado primordialmente a reparar las lesiones causadas en los derechos fundamentales y libertades públicas del demandante susceptibles de amparo (por todas, STC 208/2015, de 5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mera admisión de otros recursos de amparo idénticos al actual, presentados por el recurrente de amparo o por la otra parte ejecutada en los procedimientos de ejecución hipotecaria seguidos ante los juzgados de primera instancia e instrucción de Lorca, e incluso, el hecho de que se hayan dictado numerosas sentencias desde la STC 40/2020, estimando las demandas y reconociendo la existencia de la vulneración del derecho fundamental invocado, no es condición suficiente para admitir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mercantiles Euroinversiones Inmobiliarias Costa Sur, S.L., y Penrei Inversiones, S.L., en relación con las resoluciones dictadas por diversos juzgados de primera instancia e instrucción de Lorca, en otros tantos procedimientos de ejecución hipotecaria, han interpuesto desde el año 2018 hasta la fecha, aproximadamente un centenar de recursos de amparo, en los que se cuestionaba desde el prisma del derecho a la tutela judicial efectiva el emplazamiento efectuado mediante la utilización de la dirección electrónica habilitada. Los motivos alegados por las sociedades recurrentes para sustentar la especial trascendencia constitucional guardan sustancial identidad con el que fue considerado en la originaria STC 47/2019, de 8 de abril [“Boletín Oficial del Estado” (“BOE”) núm. 116, de 15 de mayo de 2019], —en la que se examinó por vez primera como ratio decidendi la problemática constitucional del emplazamiento mediante medios electrónicos— y en las posteriores SSTC 102/2019, de 16 septiembre; 122/2019, de 28 de octubre; 129/2019, de 11 de noviembre, y 150/2019, de 25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fue hasta que se dicta la STC 40/2020, de 27 de febrero (“BOE” núm. 83, de 26 de marzo de 2020), cuando se consideró aplicable la doctrina constitucional asentada en la STC 47/2019, de 27 de febrero, al primero del centenar de recursos de amparo interpuestos por los ejecutados —en aquel caso por Euroinversiones Inmobiliarias Costa Sur, S.L.,— y desde entonces hasta la fecha se han dictado en relación con las mismas mercantiles numerosas sentencias, todas ellas estimando recursos de amparo interpuestos con anterioridad a la fecha de interposición del presente, con cita de la STC 40/2020.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 este tribunal ha resuelto, como criterio unificador para la admisibilidad de los recursos de esta serie, que es la fecha de publicación en el “BOE” de la STC 40/2020, de 27 de febrero, la que ha de determinar el momento a partir del cual pierden especial trascendencia constitucional las solicitudes de amparo de esta serie coincidentes, en su contenido, con la ya resuelta en la citada resolución. Una vez resuelto el primero de los recursos, hemos de reiterar que es este último el momento procesal que debe tenerse en cuenta para resolver sobre la apreciación de especial trascendencia constitucional en las “series” de recursos, ya sea como cuestión nueva, ya lo sea por apreciar que el recurso puede dar ocasión al tribunal para aclarar o cambiar su doctrina, como consecuencia de cambios normativos relevantes para la configuración del contenido del derecho fundamental [STC 155/2009, FJ 2 b)], según señalan las SSTC 56/2013, 170/2013, 148/2015, 12/2016, y 139/2018, que expresan una doctrina constante.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Atendidas las anteriores consideraciones, hemos de destacar que el presente recurso de amparo fue presentado ante este tribunal el 10 de noviembre de 2020, esto es, más de siete meses después de la publicación en el “BOE” de 26 de marzo de la STC 40/2020, de 27 de febrero, que, por primera vez, a instancia de una de las dos entidades ejecutadas en el proceso judicial precedente, abordó expresamente la cuestión ahora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en el momento de presentarse el recurso de amparo, la demanda ya no se refería a un problema o una faceta de un derecho fundamental sobre el que no existía doctrina específica de este tribunal (STC 155/2009, de 25 de junio, FJ 2 a)], ni tampoco el recurso puede dar ocasión al tribunal para aclarar o cambiar su doctrina, como consecuencia de cambios normativos relevantes para la configuración del contenido del derecho fundamental alegado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razón por la que el Ministerio Fiscal considera que el recurso tiene especial trascendencia constitucional es por entender que el órgano judicial ha incurrido en una negativa manifiesta del deber de acatamiento de la doctrina del Tribunal Constitucional. Afirma el Ministerio Fiscal que cuando el Juzgado de Primera Instancia e Instrucción núm. 5 de Lorca desestimó el recurso de reposición no solo se había dictado ya la STC 40/2020, sino que además el Tribunal Constitucional había anulado resoluciones de idéntico contenido dictadas por el propio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50.1 a) LOTC, el recurso de amparo no puede ser admitido a trámite si el recurrente no cumple —además de los restantes requisitos procesales previstos en los arts. 42 a 44 LOTC— la ineludible exigencia, impuesta por el art. 49.1 in fine LOTC, de justificar de manera expresa en la demanda de amparo la especial trascendencia constitucional del recurso (AATC 188/2008, de 21 de julio, FJ 1, y 289 y 290/2008, ambos de 22 de septiembre, FJ 1). En el mismo sentido, en la STC 155/2009, de 25 de junio, FJ 2, dictada por el Pleno de este tribunal, se insistió en que el recurrente “ha de satisfacer necesariamente, de acuerdo con lo dispuesto en el art. 49.1 in fine LOTC, la carga de justificar en la demanda la especial trascendencia constitucional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modo en el que se debe dar cumplimiento a la justificación de la especial transcendencia constitucional del recurso, debemos recordar que “aunque la indicada previsión del art.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tal fin, aunque no existe un modelo rígido al que haya de ajustarse la redacción de las demandas de amparo, es claro que debe responder a los cánones propios de este tipo de escritos procesales” (SSTC 17/2011, de 28 de febrero, FJ 2, y 69/2011, de 16 de mayo, FJ 3). A la parte recurrente, pues, le es exigible un “esfuerzo argumental” (ATC 154/2010, de 15 de noviembre, FJ 4) que ponga en conexión las vulneraciones constitucionales que alega con los criterios establecidos en el artículo 50.1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mercantil recurrente dedica un apartado específico de su demanda a justificar la especial trascendencia constitucional del recurso. En este apartado justifica la especial trascendencia constitucional aludiendo al hecho de que esta cuestión ya ha sido resuelta por el Tribunal Constitucional en numerosas sentencias, en las que ha sido parte la mercantil Euroinversiones Inmobiliarias Costa Sur, S.L., resolviendo el Tribunal Constitucional en el sentido de que el primer emplazamiento o citación al demandado debe hacerse en papel y en su domicilio, de conformidad con el art. 155 LEC, y no a través de la sede judicial electrónica. Así, señala, lo ha resuelto el Pleno del Tribunal Constitucional, entre otras, en su sentencia 40/2020, de 27 de febrero, y la Sala Segunda en su sentencia 43/2020, de 9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la recurrente no alega expresamente el motivo f) de la STC 155/2009, negativa manifiesta del deber de acatamiento de la doctrina de este tribunal, de su demanda parece deducirse que lo que a su juicio justifica la especial trascendencia constitucional de este recurso es la existencia de una doctrina constitucional clara al respecto sobre la cuestión planteada que no ha sido aplicada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concurra el supuesto de la negativa manifiesta del deber de acatamiento de la doctrina constitucional señalado en la STC 155/2009, FJ 2 f), son necesarios los siguientes requisitos característicos: (i) que no pueda ser identificada con “la errónea interpretación o aplicación de la jurisprudencia, incluso si fuera objetivable y verificable en el caso concreto” (STC 106/2017, de 18 de septiembre, FJ 2), sino como “la voluntad manifiesta de no proceder a su aplicación; o dicho en otras palabras, a una decisión consciente de soslayarla” (STC 83/2018, de 16 de julio, FJ 3); (ii)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 (iii) procede apreciar la concurrencia de dicho elemento intencional en supuestos en los que el órgano judicial, aun conociendo la doctrina constitucional, dado que había sido citada y extractada en lo fundamental en el escrito por el que se hubo promovido el incidente de nulidad de actuaciones, lo resolvió sin hacer consideración alguna sobre ella (STC 5/2018, de 22 de enero, FJ 2, por todas); y (iv) en todo caso, la cita de la doctrina constitucional ha de ser concreta y precisa, “no siendo suficiente cualquier pronunciamiento jurisprudencial que se entienda incumplido” (STC 106/2017, de 18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en el presente supuesto la mercantil recurrente no pudo hacer valer la doctrina constitucional sentada en la STC 40/2020 (“BOE” de 26 de marzo de 2020) en el momento de interposición del recurso de reposición, porque dicha sentencia todavía no había sido dictada. Sin embargo, como señala el Ministerio Fiscal, el Juzgado de Primera Instancia e Instrucción núm. 5 de Lorca conocía esa doctrina en la fecha que dictó el auto resolviendo el recurso de reposición, 29 de septiembre de 2020, pues en ese momento ya se habían estimado numerosos recursos de amparo interpuestos por las mercantiles Penrei Inversiones, S.L., y Euroinversiones Inmobiliarias Costa Sur, S.L., y se había declarado la nulidad de distintos autos dictados por el propio Juzgado de Primera Instancia e Instrucción núm. 5 de Lorca, así como la nulidad de las actuaciones realizadas a partir del emplazamiento de las entidades recurrentes a través de la dirección electrónica habilitada (entre ellas, SSTC 94/2020, de 20 de julio, y 77/2020, de 29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circunstancia dota de especial trascendencia constitucional a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estimar el recurso de súplica interpuesto por el Ministerio Fiscal y dejar sin efecto la providencia de 10 de febrero de 2021 impugnada, con el fin de reponer las actuaciones al momento anterior a su dictado, para que se dicte otra que, a tenor de lo hasta ahora razonado, se pronuncie de nuevo sobre la admisibilidad de la presente pretensión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Dejar sin efecto la providencia de 10 de febrero de 2021 que acordó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Reponer las actuaciones al momento anterior a dictarse la providencia anulada a fin de que se dicte otra que, a tenor de lo expuesto en el fundamento jurídico único de esta resolución, se pronuncie sobre su admisibilidad.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