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medida cautelar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marzo de 2021, tuvo entrada en el registro general de este Tribunal Constitucional un escrito de la procuradora doña Carmen Catalina Rey Villaverde, en representación de doña Paloma Rodríguez Moya, asistida por el letrado don Luis Martín Más, por el que interpuso recurso de amparo contra la sentencia 619/2020, de 18 de noviembre, de la Sala Segunda del Tribunal Supremo, que desestimó el recurso de casación interpuesto contra el auto de 27 de noviembre de 2019, dictado por la Sección Cuarta de la Sala de lo Penal de la Audiencia Nacional, también impugnado, por el que se desestima la pretensión de revisar la sentencia condenatoria emitida por el Tribunal Superior de lo Penal núm. 11 de Bakirköy (Turquía), que le impuso una pena de quince años y treinta y siete días de prisión por un delito contra la salud pública, que actualmente se encuentra cumpliendo en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fue condenada por el Tribunal Superior de lo Penal núm. 11 de Bakirköy (Turquía) a una pena de quince años y treinta y siete días de prisión por un delito contra la salud pública. Los hechos se remontan al 18 de noviembre de 2014, cuando fue interceptada en el Aeropuerto Internacional Atatürk de Estambul (Turquía), transportando en su equipaje un total de 2888 gramos de la sustancia estupefaciente “cocaína”, en un vuelo procedente de Sao Paulo (Brasil).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Previa solicitud de la recurrente, y en aplicación de lo dispuesto en el Convenio europeo sobre el traslado de personas condenadas, hecho en Estrasburgo el 21 de marzo de 1983, se autorizó su traslado a España para el cumplimiento del resto de la pena impuesta. Según la liquidación de condena obrante en el expediente judicial internacional núm. 41-2017, seguido ante la Audiencia Nacional, la fecha de cumplimiento de la pena se producirá el 20 de diciembre de 2029.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Una vez en nuestro país, en fecha 4 de junio de 2018 solicitó la revisión de la condena impuesta en Turquía, al amparo de las disposiciones transitorias primera y segunda del Código penal, al entender que la legislación penal española establece una pena más beneficiosa que la legislación turca, en función del tipo delictivo por el que fue condenada en el país de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27 de noviembre de 2019, la Sección Cuarta de la Sala de lo Penal de la Audiencia Nacional rechazó la solicitud de la recurrente, por un doble motivo: (i) los términos de la ratificación por España del Convenio sobre el traslado de personas condenadas no permiten la aplicación del “principio de conversión” [art. 9.1 b)] sino el de “prosecución” [arts. 9.1 a) y 10.1], por lo que los tribunales españoles quedan vinculados por la naturaleza jurídica y la duración de la sanción impuesta por el tribunal sentenciador; y (ii) no procede la aplicación de la Ley 23/2014, porque Turquía no es miembro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Interpuesto recurso de casación contra el auto anterior, fue desestimado por la Sala Segunda del Tribunal Supremo en la sentencia 619/2020, de 18 de noviembre. La Sala da respuesta a los dos motivos de casación planteados, rechazando el recurso porque: (i) no existe vulneración del derecho a la igualdad, ya que no hay término de comparación entre sentencias dictadas por tribunales de distintos países conforme a sus propias legislaciones de referencia; y (ii) la Decisión Marco 2008/909/JAI, relativa a la aplicación del reconocimiento mutuo de sentencias en materia penal, no ha podido ser ratificada por Turquía, por la propia naturaleza de tal instrumento, propio de la Unión Europea, de la que Turquía no es parte. Además de lo anterior, tras hacer una reseña de los hechos y de la legislación aplicable, la Sala Segunda considera que no procede hacer uso de la potestad prevista en el art. 10.2 del Convenio sobre el traslado de personas condenadas. Según este precepto, el país de cumplimiento puede adaptar la pena impuesta por el país de enjuiciamiento, si la naturaleza o duración son incompatibles con su legislación. Aunque la Sala admite que nuestro sistema no permite la imposición de una pena como la fijada por el tribunal de Turquía, eso no debe suponer necesariamente su reducción drástica, porque eso supondría un incumplimiento de un compromiso internacional. Por ello, aplicando el criterio orientativo seguido en sus propios precedentes para el caso de penas privativas de libertad (SSTS 322/2018, de 29 de junio y 370/2019, de 23 de julio), el Tribunal Supremo considera que se produce la incompatibilidad descrita cuando la pena impuesta es superior al doble de la que sería imponible en nuestro país. Como quiera que, según la sentencia, la pena impuesta (quince años y treinta y siete días de prisión) no es superior al doble de la pena máxima imponible en España (nueve años de prisión, según disponen los arts. 368 y 369.1.5 Código penal: CP), no procede adaptar la pena, manteniendo los términos de la condena impuesta por el tribunal turco. En cualquier caso, se debe compensar el rigor de la pena impuesta mediante el ofrecimiento de regímenes penitenciarios atenuados existentes en España una vez cumplida la cuarta parte de la condena, con la posibilidad de concesión del régimen abierto a partir del cumplimiento de un tercio, y de la libertad condicional desde que se alcance la observancia de los dos tercios de la pena.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han vulnerado los siguientes derechos: (i) derecho a la igualdad ante la ley (art. 14 CE), en relación con el derecho a una pena con fines reeducativos y de reinserción social (art. 25.2 CE), y con la prohibición de penas o tratos inhumanos o degradantes (art. 15 CE). Se argumenta que la pena impuesta es notablemente superior a la que se impone normalmente en nuestro país (seis años), sin poner ejemplos concretos; que a otras personas condenadas por el mismo delito y trasladadas entre los mismos países sí se les realizó la adaptación de la pena, sin mayor concreción; y que la comparación de penas realizada por el Tribunal Supremo no tiene sentido, porque la pena impuesta en Turquía es el mínimo previsto en su legislación, que sería superior al doble de la pena mínima imponible en España, que es de seis años; y (ii) derecho a la tutela judicial efectiva (art. 24.1 CE), por no haber resuelto expresamente sobre la pretensión de que se suprimieran los treinta y siete días impuestos por impago de la multa acordada por el tribunal turco, cuando en España no se aplicaría ese arresto ya que la pena privativa de libertad es superior a los cinco años de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suplico de la demanda se solicitaba la suspensión del cumplimiento de la pena, como medida cautelar, sin desarrollo argumental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providencia de la Sección Cuarta de fecha 4 de octubre de 2021, se acordó la admisión a trámite de este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Además, en la misma resolución se decidió la formación de pieza separada de suspensión. En esta pieza se acordó conceder audiencia a la parte recurrente y al Ministerio Fiscal para que manifestaran lo que estimaran pertinente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15 de octubre de 2021 la demandante de amparo presentó sus alegaciones, en las que interesó la suspensión de la ejecución de la pena privativa de libertad. En su escrito se explica que la recurrente se encuentra disfrutando del tercer grado penitenciario con control telemático, de forma que puede pernoctar en su propio domicilio. Eso implica que sigue cumpliendo una pena privativa de libertad, por lo que de mantenerse esa situación se le podría causar un perjuicio irreparable para el caso de que el recurso de amparo fuera finalmente estimado. Además, considera que debe tenerse en cuenta el tiempo de cumplimiento ya transcurrido, su plena disponibilidad hacia los tribunales y la previsible tardanza en resolverse este recurso. Como argumento añadido, no con carácter principal, también destaca que actualmente trabaja como encargada de un restaurante (aporta contrato, suscrito el 13 de septiembre de 2021 y con vigencia hasta el 31 de enero de 2022) y que las medidas anticovid le obligan a estar comunicando al control telemático los frecuentes cambios de horario, con el trastorno que ello conlleva.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22 de octubre de 2021 tuvo entrada en el registro de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referencia a los antecedentes del caso, el fiscal expone la doctrina de este tribunal sobre la ejecutoriedad de las resoluciones judiciales (AATC 45/2001, de 26 de febrero; 64/2001, de 26 de marzo; 238/2004, de 28 de junio; 74/2005, de 14 de febrero, y 32/2008, de 31 de enero) y sus excepciones (AATC 61/2000, de 28 de febrero; 161/2001, de 18 de junio; 58/2002, de 8 de abril). En el ámbito de las penas privativas de libertad, recuerda la especial relevancia concedida al criterio ponderativo de la gravedad de la pena impuesta (ATC 93/2018, de 17 de septiembre, con cita de los anteriores AATC 198/2014, de 21 de julio, y 34/2016, de 15 de febrero), que se concreta en la regla de la no suspensión de las penas superiores a los cinco años de prisión, límite que sirve al legislador penal para diferenciar entre las penas graves y las menos graves (AATC 32/2007, de 12 de febrero; 16/2009, de 26 de enero; 266/2008, de 11 de septiembre, y 50/2010, de 20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fiscal resalta que este parámetro no es absoluto y, con reseña del ATC 59/2020, de 17 de junio, recuerda que “excepcionalmente se ha accedido a la suspensión de penas muy superiores, en atención a […] otros criterios a tener en cuenta en la ponderación, entre ellos el del tiempo de cumplimiento efectivo que reste, en la medida en que el mismo se conecta con el criterio genérico de la pérdida de eficacia del amparo”. En esta línea, cita los ejemplos recogidos en esa resolución, entre los que destacan la suspensión de penas de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 […]”; a los que se añaden los supuestos de “cumplimiento previo de una parte sustancial de las penas impuestas”, con nueva cita de los AATC 126/1998, 235/1999 y 305/2001.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la doctrina general expuesta al caso concreto, el Ministerio Fiscal considera que procede acceder a la medida cautelar solicitada. Aunque la pena impuesta “excede con mucho de los límites habituales […] por los que se concede la suspensión”, entiende que concurren otros elementos de ponderación como son “el cumplimiento parcial de la pena y las expectativas de cumplimiento”. Sobre esa base, valora que la recurrente ha cumplido “casi siete años” de la pena impuesta, es decir, un “periodo muy cercano a la mitad de cumplimiento inicial (7,5 años de los 15 impuestos por la sentencia condenatoria)”, a lo que debe añadirse, según el fiscal, que la “máxima pena a imponer […] sería de 9 años”, por lo que el “tiempo máximo de cumplimiento pendiente en caso de una hipotética concesión del amparo sería de 2 años […], de modo que el posible otorgamiento de amparo haría ineficaz los efectos del mismo. A lo que habría que añadir los posibles efectos positivos y reductores de la condena que podrían derivar, en su caso, de la aplicación de beneficios penitenciarios —régimen abierto y libertad condicional— aludidos por el propio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Ministerio Fiscal interesa que se acceda a la medida cautelar de suspensión solicitada por la recurrente, conforme a lo dispuesto en el art. 56.1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es determinar la procedencia o no de la medida cautelar instada por la parte recurrente en amparo, consistente en la suspensión de la ejecución de la pena privativa de libertad impuesta por un tribunal de Turquía, y que actualmente está cumpliendo en España, por aplicación del Convenio para el traslado de personas condenadas, hecho en Estrasburgo el 21 de marzo de 1983. Considera que, una vez admitido a trámite el recurso, la continuación del cumplimiento de la pena le causaría un perjuicio irreparable para el caso de que finalmente se estimara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se ha mostrado favorable a la medida cautelar solicitada, teniendo en cuenta el tiempo de condena ya cumplido y la posible pena máxima a imponer en el caso de que el recurso fuera 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interpretación combinada de los dos primeros apartados del art. 56 LOTC determina que la regla general es el mantenimiento de la eficacia del acto o resolución impugnados. La suspensión sería una excepción a esa regla general, por lo que los parámetros para su adopción han de estar basados en criterios de interpretación restrictiva. Para acordar la medida cautelar solicitada es necesario realizar un ejercicio de ponderación conjunta de dos circunstancias que, a su vez, han de ser valoradas desde su respectiva y diversa naturaleza. De esta forma, la concurrencia del perjuicio irreparable determinante de la posible pérdida de la finalidad del amparo no puede deslindarse de la previa ausencia de una perturbación grave para un interés constitucionalmente protegido. Dicho de otro modo, la ausencia de esa perturbación es el presupuesto necesario para que pueda entrar a valorarse la existencia de un perjuicio irreparable para el recurrente. Los términos del art. 56.2 LOTC no ofrecen duda al respecto. La medida cautelar de suspensión de la ejecución de la resolución impugnada ha de estar orientada a evitar que el amparo pierda su finalidad, “siempre y cuando” la suspensión no ocasione una perturbación grave a un interés constitucionalmente protegido. La concurrencia de esa perturbación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señalado este tribunal,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noción de “perjuicio irreparable”, debe entenderse como “aquel que provoque que el restablecimiento del recurrente en los derechos fundamentales cuya vulneración denuncia sea tardío e impida definitivamente que la restauración sea efectiva […].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 doctrina general de este tribunal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de las penas privativas de libertad, la doctrina constitucional sobre la suspensión cautelar de su ejecución queda expuesta, entre otras resoluciones, en el ATC 95/2019, de 23 de julio, FJ 2, que podemos resumir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suspensión de la ejecución de una pena privativa de libertad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En relación con el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No obstante lo anterior, cabe apuntar que el hecho de que la pena de prisión supere los cinco años y, por tanto, sea considerada grave [art. 33.2 b) CP], no siempre constituye una barrera infranqueable para la obtención de la suspensión cautelar. Así, también la declarado este tribunal que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(ATC 18/2011, de 28 de febrero, FJ 2 y las resoluciones que allí se citan). Igualmente, se incluye, entre estos supuestos excepcionales, el del cumplimiento previo de una parte sustancial de la pena privativa de libertad impuesta (AATC 126/1998, de 1 de junio, FJ 4; 235/1999, de 11 de octubre, FJ 2, y 305/2001, de 12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al presente caso de la doctrina expuesta conduce a la desestimación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justifica su petición en los perjuicios irreparables que se le causarían si se continuara la ejecución de la pena impuesta, en el supuesto de que se estimara finalmente el recurso. El fiscal apoya esta petición señalando que la recurrente ya ha cumplido casi la mitad de la pena impuesta y que, en el caso de que se estimara el recurso, le quedaría por cumplir un máximo de dos años de prisión, que es inferior al límite penológico de cinco años establecido como criterio orientativo por este tribunal para acordar o no la suspensión de este tipo de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primero que interesa resaltar es que la demanda de amparo no alega formalmente la vulneración del derecho fundamental que se encontraría en juego a la hora de ponderar la adopción de la medida solicitada, que no es otro que el derecho a la libertad (art. 17.1 CE). Como se ha expuesto en los antecedentes de esta resolución, la demanda invoca la protección del derecho a la igualdad (art. 14 CE) y del derecho a la tutela judicial efectiva (art. 24.1 CE). No obstante, las referencias contenidas en el escrito rector de este procedimiento, en cuanto a la posible conexión del derecho a la igualdad con los derechos a la reeducación y reinserción social de las penas (art. 25.2 CE) y la prohibición de penas o tratos inhumanos o degradantes (art. 15 CE), nos remiten al bien jurídico principalmente afectado por este tipo de respuesta penal, que no es otro que el derecho a la libertad personal (art. 17.1 CE). Por lo tanto, aunque la medida cautelar no estaría formalmente asociada al derecho fundamental invocado en la demanda, su indudable conexión debe llevarnos a “la huida de un excesivo formalismo en la interpretación del art. 56 LOTC, ajeno a los importantes intereses que se hallan en juego en estas piezas de suspensión, [que] aconsejan la incardinación de la solicitud en dicho precepto y por ello, la consideración de su fondo” (ATC 39/1997, de 10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resolución de esta pieza conviene tener en cuenta los siguientes elementos de ponderación: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necesidad de preservar el interés general, concretado en la garantía de la efectividad de las decisiones de los poderes públicos y del aseguramiento de la ejecución de las resoluciones dictadas por jueces y tribunales en el ejercicio de la potestad jurisdiccional, no puede reducirse a las que hayan sido adoptadas por los tribunales españoles, sino que ha de ser predicable de cualquier órgano jurisdiccional cuyas decisiones sean aplicables en nuestro país. Así ocurre en el presente caso, en que una sentencia de un tribunal de Turquía está siendo ejecutada en España, a solicitud de la recurrente, en aplicación de lo dispuesto en el Convenio para el traslado de personas condenadas, hecho en Estrasburgo el 21 de marzo de 1983. Desde su ratificación, llevada a cabo por España mediante instrumento de 18 de febrero de 1985, este convenio pasó a formar parte de nuestro ordenamiento jurídico, de conformidad con lo dispuesto en el art. 96.1 CE, como expresión del principio de confianza mutua entre estados firmantes de un acuerdo internacional. Por lo tanto, la presunción de legitimidad que alcanza a todas las actuaciones de los poderes públicos, abarca no sólo las resoluciones españolas, que son las formalmente impugnadas a través de este recurso, sino también las resoluciones de tribunales extranjeros que deban ser aplicadas en nuestro país, en virtud de tratados internacionales. En consecuencia, la suspensión de la ejecución de una resolución judicial, haya sido dictada por un tribunal español o extranjero, genera una perturbación para el interés general, conforme a la doctrina de este tribunal —ya reseñada—, por lo que se trata de una medida cautelar que debe ser aplicada de forma excepcional.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caso de las resoluciones judiciales que imponen una pena privativa de libertad, la valoración de la gravedad para la perturbación para los intereses generales aparece íntimamente ligada a la gravedad de la pena impuesta, como criterio que engloba la trascendencia social y la entidad de la conducta así como de los bienes jurídicos protegidos por la norma penal. En este supuesto, se debe partir de la base de que la pena impuesta es la de quince años y treinta y siete días de prisión. Esa es la pena fijada por los tribunales de Turquía, y que ha sido aceptada para su ejecución por la jurisdicción española. Nos encontramos ante una pena que, indudablemente, excede del criterio orientativo establecido de manera consolidada por este tribunal, concretado en los cinco años de prisión, como límite a partir del cual se considera que la suspensión de la ejecución de una resolución judicial genera una grave perturbación para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No obstante, el criterio de la gravedad de la pena impuesta no es de aplicación incondicionalmente automática. Factores como el tiempo de pena ya cumplido, o el que está pendiente de cumplir, han sido igualmente utilizados por este tribunal a la hora de tomar una decisión sobre esta materia. Así lo ha hecho también el Ministerio Fiscal que, en apoyo de la pretensión de la recurrente, hace una ponderación en la que toma en cuenta la pena impuesta, la pena ya cumplida, y la pena que faltaría por cumplir para el caso de que se estimara el recurso y se fijara la pena máxima que sería imponible en nuestro país, en función de las circunstancias del caso concreto. Sin embargo, esta valoración supone una cierta distorsión de los elementos que han de ponderarse en esta fase.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esa comparación implicaría una anticipación del sentido estimatorio del fallo que, como ya se recordó, está vedada en este incidente [por todos, ver ATC 55/2018, de 22 de mayo, FJ 2 c)], porque supondría adentrarnos en la prosperabilidad de la cuestión de fondo o “apariencia de buen derecho”. De acordarse la medida y dejarse sin efecto la pena impuesta se estaría produciendo, de facto, el efecto pretendido con la interposición del recurso, lo que equivaldría a su estimación anticipada. También supondría un análisis conjetural sobre los concretos efectos de una hipotética estimación, cuya determinación corresponde a la jurisdicción ordinaria, ya que no es función de este tribunal la fijación de una concreta sanción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misma línea argumental, conviene aclarar que los precedentes invocados no avalan de forma inequívoca la concesión de la medida solicitada, por cuanto no se refieren a supuestos de hecho comparables. En los casos analizados resultaban de aplicación los beneficios contemplados en el Código penal anteriormente vigente, como la redención de penas por el trabajo (art. 100 CP, en su redacción de 1973), cuyo cómputo objetivo permitía hacer una comparación entre la pena impuesta y la que finalmente sería ejecutada, y en la que solo entraba en juego la legislación española. Además, en algunos de aquellos casos, la pena impuesta estaba prácticamente cumplida o su cumplimiento se presentaba como muy cercano.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aunque no menos importante, no puede pasarse por alto el hecho de que, según ha expresado la recurrente en su escrito de alegaciones, esta no se encuentra en la actualidad privada físicamente de libertad, por cuanto goza del tercer grado del régimen penitenciario en unas condiciones que evitan cualquier tipo de estancia en prisión, ya que no solo le permiten realizar una actividad laboral sino también pernoctar en su propio domicilio. Es indiscutible que, en esas condiciones, la pena privativa de libertad está siendo ejecutada, pero en forma atenuada, conforme al régimen penitenciario vigente en nuestro país, tal y como indicó el Tribunal Supremo en la resolución ahora impugnada. La indudable ejecución de la pena no impide apreciar, por tanto, que no se puede hablar de una afectación real y efectiva del núcleo esencial del derecho fundamental invocado, al menos, a los solos efectos de hacer una valoración sobre los elementos de ponderación necesarios para decidir sobre la adopción de la medida cautelar solicitada. La situación física de libertad permite descartar el perjuicio irreparable que se alega, centrado en el efectivo cumplimiento de una pena privativa de libertad que, en realidad, no implica una privación efectiva de ese derecho fundamental.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medida cautelar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