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y don Enrique Arnaldo Alcubilla.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Ramón Sáez Valcárcel en el recurso de amparo núm. 5249-2021,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julio de 2021, don Rachid Assham, representado por la procuradora de los tribunales doña Silvia González Milara, bajo la dirección del letrado don Jacobo Teijelo Casanova, interpuso demanda de amparo contra el auto del Pleno de la Sala de lo Penal de la Audiencia Nacional núm. 37/2021, de 4 de junio, por el que se desestima el recurso de súplica núm. 8-2021 interpuesto contra el auto de la Sección Segunda de la Sala de lo Penal de la Audiencia Nacional núm. 35/2020, de 21 de diciembre, pronunciado en el rollo de sala núm. 9-2020.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día 4 de febrero de 2022, el magistrado don Ramón Sáez Valcárcel comunicó a los efectos oportunos su voluntad de abstenerse de intervenir en el conocimiento del recurso de amparo antes indicado, de conformidad con el art. 80 de la Ley Orgánica del Tribunal Constitucional (LOTC) y el art. 219.11 de la Ley Orgánica del Poder Judicial (LOPJ), por entender que concurría la causa 11 del art. 219 LOPJ (haber resuelto el pleito o causa en anterior instancia), por haber formado parte, en su condición de integrante del Pleno de la Sala de lo Penal de la Audiencia Nacional, del órgano judicial que dictó el auto núm. 37/2021, de 4 de junio, impugnado en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el magistrado de esta Sala Segunda del Tribunal Constitucional don Ramón Sáez Valcárcel, en virtud de lo previsto en los arts. 80 LOTC y 221.4 LOPJ, se estima justificada la causa de abstención formulada, puesto que el mencionado magistrado, en atención a haber formado parte del órgano judicial que dictó la resolución impugnada en amparo, está incurso en la causa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Ramón Sáez Valcárcel en el recurso de amparo núm. 5249-2021,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