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el presente incidente de suspensión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febrero de 2021, el procurador de los tribunales don Jorge Laguna Alonso, en nombre y representación de Broker &amp; Broker 98, S.L., y bajo la dirección de la letrada doña María Sonsoles de Guillermo de San Segundo, interpuso recurso de amparo contra el auto del Juzgado de Primera Instancia núm. 3 de León de 7 de enero de 2021 por el que se desestima el incidente de nulidad de actuaciones promovido por la recurrente en el juicio verbal de desahucio núm. 280-2020, seguido ante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del auto impugnado, alegando que el lanzamiento de la recurrente del local arrendado, que se produjo el 27 de octubre de 2020, le supone un perjuicio grave e irreparable, pues implica confirmar la desposesión de un local comercial en el que ha venido ejerciendo su actividad durante veintidós años y en donde han quedado todos sus enseres, archivos de clientes y demás pertenencias.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por sendas providencias de 25 de enero de 2022, acordó, en la primera, la admisión a trámite de la demanda de amparo y la formación de pieza separada de suspensión; y, en la segunda, formar la oportuna pieza para la tramitación del incidente sobre suspensión y conceder a la recurrente y al Ministerio Fiscal el plazo común de tres días para que alegasen lo que estimasen pertinente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sociedad recurrente, por escrito registrado en este tribunal el 3 de febrero de 2022, pone de manifiesto que el incidente de suspensión carece ya de objeto, toda vez que, tras el lanzamiento ejecutado el 27 de octubre de 2020, ha procedido, instada por la arrendadora, a retirar del local sus enseres. Como quiera que la principal razón de la suspensión interesada en la demanda de amparo era el restablecimiento de la posesión para poder sacar todas sus pertenencias del local, esa solicitud de suspensión ha perdido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17 de febrero de 2022. Interesa que, a la vista de lo manifestado por la recurrente en sus alegaciones en la pieza separada de suspensión, y de conformidad con la consolidada jurisprudencia constitucional sobre la pérdida de objeto de los incidentes de suspensión en relación con resoluciones judiciales que ya han consumado sus efectos (así, AATC 110/2008, de 14 de abril, y 241/2013, de 21 de octubre), procede considerar que la petición de suspensión ha perdido de manera sobrevenida su objeto y archivar en consecuencia el presente incidente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Pérdida de objeto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este incidente consiste en determinar si procede acordar la suspensión de la ejecución del auto impugnado, por el que se desestima el incidente de nulidad de actuaciones promovido por la sociedad mercantil recurrente en el juicio verbal de desahucio núm. 280-2020, seguido ante el Juzgado de Primera Instancia núm. 3 de León, en el que se acordó el lanzamiento de la recurrente del local en el que había venido desarrollando su actividad comercial.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lanzamiento de la recurrente en amparo del local comercial del que era arrendataria se produjo efectivamente el 27 de octubre de 2020, esto es, con anterioridad incluso a la presentación de la demanda de amparo en este tribunal (lo que tuvo lugar el 18 de febrero de 2021). La recurrente ha puesto de manifiesto en su escrito de alegaciones que el principal motivo de la suspensión interesada en la demanda era el restablecimiento de la posesión, para poder sacar todas sus pertenencias del local, siendo así que, a instancias de la parte arrendadora, ya ha procedido a retirar esos enseres, por lo esa solicitud de suspensión ha perdido su finalidad. A la vista de estas alegaciones, el Ministerio Fiscal interesa que se archive el presente incidente de suspensión por pérdida sobrevenida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de conformidad con lo alegado por la recurrente y el Ministerio Fiscal y con la jurisprudencia constitucional consolidada sobre la pérdida de objeto de los incidentes de ejecución en relación con resoluciones que ya han consumado sus efectos (por todos, AATC 110/2008, de 14 de abril; 125/2010, de 4 de octubre; 241/2013, de 21 de octubre, y 76/2020, de 20 de julio), procede acordar el archivo del presente incidente de suspensión por carencia sobrevenida de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el presente incidente de suspensión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