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6324-2020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6324-2020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resolución de la delegada del Gobierno en la Comunidad de Madrid, dictada en fecha 28 de abril de 2017 en el marco del expediente sancionador núm. 280020170005656, por la que se acordó la expulsión del recurrente del territorio nacional con la prohibición de entrada en España por un periodo de tres años.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diciembre de 2020, tuvo entrada en el registro general de este Tribunal Constitucional un escrito de la procuradora doña Bárbara Sánchez Lorente, en representación de don Jeifry Manuel de la Cruz, asistido por el letrado don David Redondo Artiles, por el que interpuso recurso de amparo contra la providencia de 10 de diciembre de 2020, de la Sala Tercera del Tribunal Supremo, que inadmitió el incidente de nulidad de actuaciones planteado contra la providencia de la misma Sala de fecha 21 de septiembre de 2020, que inadmitió a trámite el recurso de casación interpuesto contra la sentencia 545/2019, de 26 de julio, dictada por la Sala de lo Contencioso-Administrativo del Tribunal Superior de Justicia de Madrid, que desestimó el recurso de apelación interpuesto, a su vez, contra la sentencia 157/2018, de 12 de junio, del Juzgado de lo Contencioso-Administrativo núm. 21 de Madrid que, por su parte, había desestimado el recurso interpuesto contra la resolución de 28 de abril de 2017 de la Delegación del Gobierno de España en la Comunidad de Madrid, por la que se acordó la expulsión del territorio nacional del ahora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28 de abril de 2017, la delegada del Gobierno en la Comunidad de Madrid dictó una resolución por la que se decretó la expulsión del territorio nacional del ahora recurrente, nacional de la República Dominicana, con prohibición de entrada durante tres años, por infracción de lo dispuesto en el art. 53.1 a) de la Ley Orgánica sobre derechos y libertades de los extranjeros en España y su integración social (LOEX): estancia irregular.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Interpuesto el correspondiente recurso contencioso-administrativo, fue desestimado por sentencia 157/2018, de 12 de junio, del Juzgado de lo Contencioso-Administrativo núm. 21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esa resolución se interpuso recurso de apelación, que fue desestimado por la sentencia 545/2019, de 26 de julio, dictada por la Sala de lo Contencioso-Administrativo del Tribunal Superior de Justicia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Preparado el correspondiente recurso de casación, fue inadmitido a trámite por medio de providencia de 21 de septiembre de 2020, dictada por la Sala de lo Contencioso-Administrativo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Seguidamente, el recurrente planteó un incidente de nulidad de actuaciones contra la citada providencia, alegando la vulneración del derecho a la tutela judicial efectiva en su vertiente de derecho de acceso al recurso y a la motivación de las resoluciones judiciales. El incidente fue inadmitido a trámite por medio de providencia de 10 de diciembre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han vulnerado los siguientes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Derecho a la tutela judicial efectiva (art. 24.1 CE), en su vertiente de derecho de acceso al recurso. Se considera que la interpretación y aplicación de las causas de inadmisión del recurso de casación han sido rigoristas o excesivamente formalistas, además de arbitrarias o manifiestamente irrazonables.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vulneración del derecho a la tutela judicial efectiva ha determinado que el resto de las infracciones constitucionales alegadas en el recurso de casación no hayan sido reparadas. En concreto: (i) vulneración del derecho a la tutela judicial efectiva (art. 24.1 CE), por error patente en la aplicación de la norma legal; (ii) vulneración del derecho a la tutela judicial efectiva (art. 24.1 CE) y del principio de legalidad sancionadora (art. 25.1 CE), por haberse aplicado indebidamente el procedimiento preferente del art. 63.1 LOEX; (iii) vulneración del derecho a un proceso con todas las garantías (art. 24.2 CE), por infracción del marco normativo español [arts. 53.1 a), 55.1 b) y 57 LOEX], ya que la sanción de expulsión solo procede conforme a parámetros de proporcionalidad y de forma motivada; y (iv) vulneración de los derechos de defensa y presunción de inocencia, en relación con un proceso con todas las garantías (art. 24.2 CE), porque no se notificó la propuesta de resolución y se introdujo un hecho nuevo no incluido en la incoación del expediente.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suplico de la demanda se solicitó la suspensión de la ejecución de la “resolución recurrida con el objeto de evitar un perjuicio que haga perder al amparo su finalidad”, sin desarrollo argumental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providencia de la Sección Cuarta de fecha 8 de marzo de 2022, se acordó la admisión a trámite de este recurso de amparo, apreciando que concurre en el mismo una especial trascendencia constitucional [art. 50.1 de la Ley Orgánica del Tribunal Constitucional (LOTC)], “porque el recurso puede dar ocasión al Tribunal para aclarar o cambiar su doctrina, como consecuencia de un cambio en la doctrina de los órganos de garantía encargados de la interpretación de los tratados y acuerdos internacionales a los que se refiere el art. 10.2 CE [STC 155/2009, FJ 2 b)]”. Además, en la misma resolución se decidió la formación de pieza separada de suspensión. En esta pieza se acordó conceder audiencia a la parte recurrente y al Ministerio Fiscal para que manifestaran lo que estimaran pertinente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14 de marzo de 2022 la representación del demandante de amparo presentó sus alegaciones. Tras reiterar los argumentos expuestos en la demanda, considera que la ejecución de la expulsión decretada por la autoridad gubernativa generaría un perjuicio irreparable o de difícil reparación. Alega que el demandante tiene arraigo en nuestro país, al que accedió como reagrupado (familiar de residente comunitario), es hijo de ciudadana española, tiene un hijo menor de edad —también de nacionalidad española—, y ha disfrutado de permisos de residencia y trabajo. En el escrito se razona que concurre el requisito del periculum in mora, que la medida cautelar solicitada es idónea para asegurar la efectividad de una eventual sentencia estimatoria, y que la expulsión le impediría regularizar su situación para trabajar legalmente en España, además de perder la posibilidad de ejercer la libre deambulación por el territorio Schengen. En cuanto al requisito de la apariencia de buen derecho, se remite al escrito de demanda. Finalmente, señala que la suspensión no supondría ningún perjuicio para los intereses públicos ni implicaría una anticipación del fallo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21 de marzo de 2021 tuvo entrada en el registro de este tribunal el escrito de alegaciones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hacer referencia a los antecedentes del caso, el fiscal expone la doctrina de este tribunal sobre la cuestión planteada, con cita y reseña de los AATC 68/2020, de 13 de julio, FFJJ 2 a 4; 114/2016, de 26 de mayo, FJ 2, y 55/2021, de 10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esa doctrina, el Ministerio Fiscal considera que procede acceder a la medida cautelar solicitada, ya que “atendiendo al conjunto de circunstancias”, la ejecución de la expulsión “podría conllevar perjuicios de carácter personal, económico y familiar, con eventual afectación de menor de edad”, sin que se aprecie una perturbación grave de los intereses generales ni de derechos de terceros, conforme a lo dispuesto en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24 de marzo de 2022, la Sección Cuarta de este tribunal acordó, por medio de providencia, recabar de la Delegación del Gobierno en Madrid información actualizada de la situación administrativa del recurrente en el territorio nacional. En respuesta a esta petición, al día siguiente se informó que el Juzgado de lo Contencioso-Administrativo núm. 21 de Madrid había dictado en su día el auto 240/2017, de 22 de diciembre, acordando la suspensión de la resolución administrativa impugnada, por lo que hasta el momento no se ha ejecutado la expulsión decretada contra el ahora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es determinar la procedencia o no de la medida cautelar instada por la parte recurrente en amparo, consistente en la suspensión de la ejecución de la resolución administrativa por la que se acordó su expulsión del territorio nacional. Considera que, una vez admitido a trámite el recurso, la ejecución de esa sanción le causaría un perjuicio irreparable para el caso de que finalmente se estimara el amparo, con afectación personal, familiar, laboral y social. Por su parte, el Ministerio Fiscal se ha mostrado favorable a la medida cautelar solicitada, por los motivos ya expuestos en los antecedentes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cautelar es necesario partir de lo que dispone el art. 56.1 LOTC que, como regla general, establece que “[l]a interposición del recurso de amparo no suspenderá los efectos del acto o sentencia impugnados”. No obstante, su apartado 2, señala después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En segundo lugar,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interpretación combinada de los dos primeros apartados del art. 56 LOTC determina que la regla general es el mantenimiento de la eficacia del acto o resolución impugnados. La suspensión sería una excepción a esa regla general, por lo que los parámetros para su adopción han de estar basados en criterios de interpretación restrictiva. Para acordar la medida cautelar solicitada es necesario realizar un ejercicio de ponderación conjunta de dos circunstancias que, a su vez, han de ser valoradas desde su respectiva y diversa naturaleza. De esta forma, la concurrencia del perjuicio irreparable determinante de la posible pérdida de la finalidad del amparo no puede deslindarse de la previa ausencia de una perturbación grave para un interés constitucionalmente protegido. Dicho de otro modo, la ausencia de esa perturbación es el presupuesto necesario para que pueda entrar a valorarse la existencia de un perjuicio irreparable para el recurrente. Los términos del art. 56.2 LOTC no ofrecen duda al respecto. La medida cautelar de suspensión de la ejecución de la resolución impugnada ha de estar orientada a evitar que el amparo pierda su finalidad, “siempre y cuando” la suspensión no ocasione una perturbación grave a un interés constitucionalmente protegido. La concurrencia de esa perturbación impide la adopción de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señalado este tribunal,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(ATC 137/2017, de 16 de octubre,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 En definitiva, se trata de preservar la “presunción de legitimidad que alcanza a todas las actuaciones de los poderes públicos, presunción inherente a la entera actividad pública (legislativa, ejecutiva y judicial)” (ATC 190/2015,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facultad de este tribunal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c),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previsión tanto más difícil en cuanto el recurso de amparo […] verse sobre aspectos o facetas del derecho fundamental invocado acerca de los cuales el Tribunal no ha tenido aún ocasión de pronunciarse. En tal medida, ‘no procede en este incidente examinar ni la concurrencia ni la ausencia de apariencia de buen derecho’ de la pretensión de amparo formulada, criterio este del que no se vale la regulación del artículo 56 LOTC para conceder o denegar la protección cautelar pretendida (AATC 187/2003, de 2 de junio, y 258/1996,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“el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o 59/2017, de 24 de abril, FJ 1]” (ATC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noción de “perjuicio irreparable”, debe entenderse como “aquel que provoque que el restablecimiento del recurrente en los derechos fundamentales cuya vulneración denuncia sea tardío e impida definitivamente que la restauración sea efectiva […].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es doctrina general de este tribunal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caso de las resoluciones de expulsión, la jurisprudencia constitucional ha reiterado que su ejecución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(AATC 82/1999, de 12 de abril, FJ 2; 356/2008, de 10 de noviembre, FJ único; 156/2010, de 15 de noviembre, FJ único; 66/2012, de 16 de abril, FJ 2; 116/2013, de 20 de mayo, FJ 2; 90/2015, de 25 de mayo, FJ 2; 47/2016, de 29 de febrero, FJ 2, y 133/2016, de 22 de junio, FJ 2). Doctrina reiterada en los más recientes AATC 40/2021, de 19 de abril, FJ 2, y 55/2021, de 10 de mayo,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presente caso, el recurrente justifica su petición en los perjuicios irreparables que se le causarían si se continuara la ejecución de la resolución de expulsión, en el supuesto de que se estimara finalmente el recurso. Por su parte, el Ministerio Fiscal apoya la concesión de la medida cautelar, por los motivos ya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resolución de esta pieza, es necesario valorar la eventual concurrencia de los perjuicios irreparables que invoca el recurrente en la demanda de amparo. A este respecto, y de conformidad con la doctrina de este tribunal, hemos de reconocer la existencia del alegado perjuicio irreparable que la no adopción de la suspensión cautelar supondría para el recurrente, toda vez que la ejecución del acuerdo de expulsión determinaría que una eventual concesión posterior del amparo, aparte de poder llegar a resultar ilusoria, le podría ocasionar unos perjuicios de carácter personal, económico y familiar de imposible resarcimiento, aunque el ahora demandante de amparo llegara a regresar a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sin que ello suponga prejuzgar la cuestión de fondo planteada, de la documentación obrante en las actuaciones se puede deducir la afectación de derechos de terceras personas, entre los que se encuentra un menor de edad, lo que conduce a la ponderación de la posible concurrencia de un bien constitucionalmente protegido (art. 39.4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hemos de apreciar también que no concurre en el presente caso una grave perturbación para los intereses generales. De hecho, según el informe remitido por la Delegación del Gobierno en Madrid, la expulsión ha estado suspendida desde el año 2017, por decisión del Juzgado de lo Contencioso-Administrativo núm. 21 de Madrid. Una decisión que se ha mantenido a lo largo de este tiempo, pero que podría modificarse radicalmente si no se adoptara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medida interesada se revela como ajustada a los presupuestos y a la finalidad prevista en el art. 56, apartados 1 y 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resolución de la delegada del Gobierno en la Comunidad de Madrid, dictada en fecha 28 de abril de 2017 en el marco del expediente sancionador núm. 280020170005656, por la que se acordó la expulsión del recurrente del territorio nacional con la prohibición de entrada en España por un periodo de tres años.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