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4204-2019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4204-2019, 4251-2019, 4275-2019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Rectificar el error material contenido en el fallo de la sentencia de 7 de marzo de 2022, en cuanto a la identificación de las resoluciones anuladas, quedando redactado el apartado segundo del fallo de la referida sentencia de la siguiente manera: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Anular los autos de 2 de enero, 25 de enero y 6 de febrero de 2019, dictados por el Juzgado de Instrucción núm. 12 de Palma de Mallorca, y los autos de 20 de mayo y 21 de mayo de 2019, dictados por la Audiencia Provincial de Baleares (Sección Primera), que los confirman”.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los recursos de amparo acumulados núms. 4204-2019, 4251-2019 y 4275-2019, promovidos los dos primeros por doña Blanca Pou Schmidt y Europa Press Delegaciones, S.A., y el tercero por don Francisco Mestre García y Editora Balear, S.A., recayó la STC 30/2022, de 7 de marzo, por la que se estimaban los recursos presentados, declarando vulnerados los derechos fundamentales a la tutela judicial efectiva (art. 24.1 CE) de las personas y entidades demandantes de amparo, en su vertiente del derecho de acceso a la jurisdicción y a los recursos. Esta misma resolución acordaba anular el auto de la Audiencia Provincial de Baleares (Sección Primera) de 21 de mayo de 2019, y los autos de 6 de febrero de 2019 y de 28 de noviembre de 2018, dictados por el Juzgado de Instrucción núm. 12 de Palma de Mallorca; así como el auto de la Audiencia Provincial de Baleares (Sección Primera) de 20 de mayo de 2019, y los autos de 25 de enero de 2019 y de 2 de enero de 2019, dictados por el Juzgado de Instrucción núm. 12 de Palma de Mallorca.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el Tribunal Constitucional el día 16 de marzo de 2022, la procuradora de los tribunales, doña Joana Socias Reynés, actuando en nombre y representación de doña Blanca Pou Schmidt, Editora Balear, S.A., y don Francisco Mestre García, formuló solicitud de aclaración, al entender que en nuestra sentencia existían diversos errores materiales en cuanto a la fecha de los autos objeto de anulación. Según se manifestaba en el citado incidente, correspondía rectificar el fallo sustituyendo las fechas de las resoluciones anuladas por las siguientes “auto de la Audiencia Provincial de Baleares (Sección Primera) de 21 de mayo de 2019 y el auto de 6 de febrero de 2019 dictado por el Juzgado de Instrucción núm. 12 de Palma de Mallorca, así como el auto de la Audiencia Provincial de Baleares (Sección Primera) de 20 de mayo de 2019 y los autos de 25 de enero de 2019 y de 2 de enero de 2019 dictados por el Juzgado de Instrucción núm.12 de Palma de Mallorca, así como el auto de la Audiencia Provincial de Baleares (Sección Primera) de 20 de mayo de 2019 y el auto de 6 de febrero de 2019 dictado por el Juzgado de Instrucción núm. 12 de Palma de Mallorca”.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acceder a la aclaración solicitada. Tal y como ha manifestado este tribunal en su ATC 122/2017, de 18 de septiembre, en aplicación de su doctrina (por todos, ATC 328/2003, de 20 de octubre), el artículo 267 de la Ley Orgánica del Poder Judicial, arbitra un cauce excepcional aplicable supletoriamente a la jurisdicción constitucional (ex art. 80 de la Ley Orgánica del Tribunal Constitucional), permitiendo a esta Sala “aclarar algún concepto oscuro, suplir omisiones o rectificar errores materiales manifiestos y los aritméticos, sin que, por tanto, pueda servir ni para poner remedio a una falta de fundamentación jurídica (por todas, STC 59/2001, de 26 de febrero, FJ 2), ni para reinterpretar la sentencia pretendidamente aclarada o corregida, ni para rectificar errores de Derecho, por más que el órgano judicial sea consciente de los mismos (entre otras muchas, STC 286/2000, de 27 de noviembre, FJ 2). Por ello, el llamado recurso de aclaración debe atenerse siempre a los supuestos taxativamente previstos en la Ley Orgánica del Poder Judicial, limitándose a la función específica reparadora para la que se ha establecido (por todas, STC 218/1999, de 29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petición de aclaración efectuada no rebasa los límites marcados por esta jurisprudencia. En efecto, como se advierte en el escrito presentado por los demandantes, son dos las resoluciones dictadas por la Audiencia Provincial de Baleares (Sección Primera) en fecha 20 de mayo de 2019 (impugnadas en los recursos de amparo núms. 4204-2019 y 4275-2019) y dos las resoluciones dictadas por el Juzgado de Instrucción núm. 12 de Palma de Mallorca en fecha 6 de febrero de 2019 (impugnadas en los recursos de amparo núms. 4204-2019 y 4275-2019) que se encuentran afectadas por el fallo, por lo que la redacción de este podría inducir al error sobre los efectos anulatorios derivados de la resolución cuyo aclaración se pretende.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también debemos añadir que de los razonamientos jurídicos contenidos en la sentencia se infiere que el otorgamiento del amparo se produce por la vulneración del derecho a la tutela judicial efectiva (art. 24.1 CE) en su vertiente de acceso al recurso y acceso a la jurisdicción, por lo que los efectos anulatorios derivados de aquella nunca podría alcanzar las resoluciones cuyo impugnación se pretendía en el procedimiento originario. Consecuentemente, ha de excluirse también del fallo la resolución dictada por el Juzgado de Instrucción núm. 12 de Palma de Mallorca en fecha 28 de noviembre de 2018.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Rectificar el error material contenido en el fallo de la sentencia de 7 de marzo de 2022, en cuanto a la identificación de las resoluciones anuladas, quedando redactado el apartado segundo del fallo de la referida sentencia de la siguiente manera: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Anular los autos de 2 de enero, 25 de enero y 6 de febrero de 2019, dictados por el Juzgado de Instrucción núm. 12 de Palma de Mallorca, y los autos de 20 de mayo y 21 de mayo de 2019, dictados por la Audiencia Provincial de Baleares (Sección Primera), que los confirman”.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