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12 de julio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4701-2020, promovida por el Juzgado de Violencia sobre la Mujer núm. 1 de Jerez de la Frontera, en relación con el art. 92.7 en su inciso primero del Código civil, en la redacción dada por la Ley 15/2005, de 8 de julio, por posible vulneración del principio del interés superior del menor (art. 39.2 y 4 CE), del libre desarrollo de la personalidad (art. 10.1 CE), del derecho a la vida familiar (arts. 10.1 y 39.1 CE, en relación con el art. 8 del Convenio Europeo de Derechos Humanos), y el derecho a la vida privada (art. 10.1 CE en relación con el art. 8 del Convenio). Han intervenido y formulado alegaciones el fiscal general del Estado y el abogado del Estado.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octubre de 2020, el letrado de la administración de justicia del Juzgado de Violencia sobre la Mujer núm. 1 de Jerez de la Frontera remitió testimonio del auto de 28 de septiembre de 2020, por el que el referido juzgado planteó cuestión de inconstitucionalidad en relación con el inciso primero del art. 92.7 del Código civil (en adelante, CC). Junto al testimonio de la referida resolución, se remitieron en soporte digital las actuaciones íntegras practicadas en ese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pueden ser relevantes en este proceso constitucional,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11 de marzo de 2019, doña M.J.V.C., presentó demanda divorcio contra don J.J.C.M., que fue turnada al Juzgado de Primera Instancia núm. 6 de Jerez de la Frontera (divorcio contencioso 531-2019), en la que se solicitaba la custodia exclusiva de los dos hijos menores del matrimonio y, subsidiariamente, la custodia compartida. En su contestación de la demanda el señor C.M., solicitó la custodia compartida.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24 de septiembre de 2019, el Juzgado de Instrucción núm. 4 de Jerez de la Frontera, tras apreciar la existencia de indicios de varios delitos —de maltrato (art.153.1 del Código penal, en adelante, CP), amenazas (art.169.2 CP), acoso (art.172 ter CP) y contra la libertad sexual (art. 179 CP), así como una situación objetiva de riesgo— dictó orden de protección a favor de la señora V.C., acordando como medidas cautelares penales la prohibición de aproximación del señor C.M., y la de comunicarse con ella por cualquier medio. También se atribuyó la custodia de los hijos menores a la madre y se estableció el régimen de visitas del padre, con entregas y recogidas a través del punto de encuentro familiar. De la lectura del auto se deduce que a doña M.J.V.C., también se le atribuyó la condición de investigada.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14 de noviembre de 2019, el Juzgado de Primera Instancia núm. 6 de Jerez de la Frontera aceptó el requerimiento de inhibición a favor del Juzgado de Violencia sobre la Mujer núm. 1, remitiéndole las actuaciones de conformidad con el art. 87 ter de la Ley Orgánica del Poder Judicial (en adelante, LOPJ) y art. 49 de la Ley de enjuiciamiento civil (en adelante, LEC); y por auto de 24 de marzo de 2020, se prorrogaron las medidas civiles adoptadas en el auto por el que se acordó la orden de protección de doña M.J.V.C.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acto de la vista del procedimiento de divorcio núm. 23-2020, seguido ante el Juzgado de Violencia sobre la Mujer núm.1 de Jerez de la Frontera, ambas partes manifestaron que, en relación con las medidas a adoptar respecto de sus hijos menores, habían llegado al acuerdo de solicitar la guardia compartida por periodos semanales. El Ministerio Fiscal informó desfavorablemente al considerar que, en un caso como este, el art. 92.7 CC impedía el ejercicio conjunto de la custodia.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providencia de 15 de julio de 2020, el órgano judicial acordó dar audiencia a las partes y al Ministerio Fiscal sobre la pertinencia de plantear cuestión de inconstitucionalidad en relación con el art. 92.7 CC. En esta providencia el juzgado puso de manifiesto a las partes que el referido precepto podía resultar contrario a los arts. 10.1, 18.1, 39.1, 39.2 y 39.4 CE, todos ellos en relación con el art.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Ministerio Fiscal consideró procedente el planteamiento de la presente cuestión de inconstitucionalidad. También estuvo de acuerdo la representación procesal de doña M.J.V.C. Por el contrario, la representación procesal de don J.J.C.M., consideró que no era necesario plantearla, al entender que la decisión relativa a la procedencia de la custodia compartida debía adoptarse atendiendo a los intereses del menor, con independencia de la situación procesal en la que se encuentren sus progenitores. No obstante, alega también que, en el caso de que se planteara la cuestión suscitada, debería versar sobre si en un caso como el del presente supuesto, en el que tanto los menores como los progenitores están de acuerdo en que la custodia ha de ser compartida, se puede denegar tal régimen en virtud de lo dispuesto en el art. 92.7 CC. A su juicio, el art. 39 CE en relación con el art. 10.2 CE impiden llegar a esa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28 de septiembre de 2020, el Juzgado de Violencia sobre la Mujer núm. 1 de Jerez de la Frontera acordó plantear cuestión de inconstitucionalidad respecto del inciso primero del art. 92.7 CC, al considerar que podía lesionar los arts. 39.2 y 4 CE por vulnerar el principio que exige actuar atendiendo al interés superior del menor; el principio que garantiza el libre desarrollo de la personalidad (art. 10.1 CE); el derecho a la vida familiar (art. 10.1 y 39.1 CE), y el derecho a la vida privada (art. 10.1 CE en relación con el art. 8 del Convenio europeo de derechos humanos: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tras hacer una breve referencia a los hechos de los que trae causa la presente cuestión de inconstitucionalidad, indicando que el proceso penal en que se adoptaron las medidas de protección se sigue en el propio juzgado, y que estas continúan vigentes, se pone de manifiesto que en este caso, salvo la circunstancia de que el padre de los menores posee la condición de investigado por un delito relacionado con la violencia de género y la madre tiene también tal condición por un delito de violencia doméstica conexo con los imputados al padre, no existen motivos que justifiquen la denegación de la custodia compartida, pues ambos progenitores están de acuerdo en que esta medida es la más conveniente para los hijos menores. Se indica también que la razón por la que el fiscal no la apoya es únicamente porque lo impide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advierte que los progenitores, desde el momento de su separación, han optado por un sistema de custodia conjunta, régimen que no ha sido desfavorable para los niños. También manifiesta que, según han declarado tanto el padre como la madre, los menores desean continuar con ese régimen.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órgano judicial, la única causa que podría justificar la denegación del régimen de custodia compartida es que, en este caso, el respeto mutuo entre los progenitores en sus relaciones personales, que es uno de los criterios que ha de valorarse para decidir si procede otorgar la guardia conjunta, juega en contra de esta opción. No obstante, entiende que, según ha establecido el Tribunal Supremo, las relaciones entre los cónyuges por sí solas no son relevantes, ni irrelevantes para determinar el régimen de custodia, pues solo se convierten en relevantes cuando afectan negativamente al interés del menor (STS de 7 de junio de 2013, recurso núm. 1128-2012). Por ello, considera que como en este supuesto, el deterioro de las relaciones entre los padres que pudiera derivarse de la pendencia de un proceso penal no ha afectado a los hijos menores —conclusión que deduce del hecho que fuera este el sistema que siguieron hasta que se adoptaron medidas provisionales en la orden de protección concedida a la madre— el único motivo por el que no puede acordar la custodia compartida es la prohibición establecida en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que plantea la cuestión sostiene que los antecedentes parlamentarios de esta norma no permiten interpretarla en el sentido de considerarla inaplicable cuando se estime que el interés superior del menor exige que la custodia se ejerza de forma conjunta. Y a la misma conclusión le lleva su análisis sistemático, pues, según afirma, a diferencia de lo que ocurre con otros apartados del art. 92 CC en los que se establecen criterios de ponderación para identificar el interés general del menor, el inciso cuestionado establece una prohibición taxativa, que no permite excepciones ni matizaciones. Por todo ello, defiende que “si es el legislador quien ha determinado con carácter general cuál es el interés de los menores ante un supuesto de hecho definido en la ley, no puede el juez prescindir de aquella determinación legal incluso en el caso de que se considere que la ponderación efectuada por el legislador le impide resolver del modo más favorable al menor directamente concernido en ese asunto” y por esta razón considera que no puede inaplicar este precepto aunque considere que en el caso que está enjuiciado la custodia compartida pueda ser mejor para 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por otra parte, que la regla que contiene el inciso cuestionado del art. 92.7 CC es aplicable a todos los casos en los que se solicite la custodia compartida, ya sea por uno o por ambos progenitores y haya una causa penal por violencia doméstica en curso contra alguno de ellos. Asimismo se entiende que el precepto, aunque literalmente se refiere al supuesto en el que “cualquiera de los padres esté incurso en un proceso penal”, ha de aplicarse también en los casos en los que son ambos progenitores los que están incursos en tales procesos, pues si el legislador considera que la custodia compartida no es compatible con un contexto familiar en el que alguno de los progenitores está incurso en un proceso penal por violencia familiar esa incompatibilidad concurrirá, con mayor motivo, cuando son ambos progenitores los que han podido incurrir en esa conducta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expuestas llevan al órgano judicial que plantea la cuestión a apreciar que la única interpretación plausible del inciso primero del art. 92.7 CC es considerar que el legislador quiso prohibir de manera absoluta la custodia compartida cuando alguno de los progenitores esté incurso en algún proceso penal por alguno de los delitos indicados en la norma. Pone de manifiesto, además, que esta es la conclusión a la que ha llegado el Tribunal Supremo, citando, entre otras, la STS de la Sala de lo Civil —sección primera— de 4 de febrero de 2016 (núm. de recurso de casación 3016-2014), en la que se sostiene que “la custodia compartida conlleva como premisa la necesidad de que entre los padres exista una relación de mutuo respeto en sus relaciones personales que permita la adopción de actitudes y conductas que beneficien al menor, que no perturben su desarrollo emocional y que pese a la ruptura afectiva de los progenitores se mantenga un marco familiar de referencia que sustente un crecimiento armónico de su personalidad”.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que plantea la cuestión considera que el inciso primero del art. 92.7 CC es inconstitucional, porque vulnera el principio de protección del interés superior del menor que consagra el art. 39 CE en sus apartados, 1, 2 y 4, y supone una injerencia desproporcionada en la vida familiar, que es contraria al art. 10.1 CE en relación con el art. 8 CEDH; en la vida privada, que infringe el principio que garantiza el libre desarrollo de la personalidad (art. 10.1 CE) y art. 8 CEDH y en el derecho a la intimidad personal y familiar. Junto a ello se invoca el art. 3.1 de la Convención sobre los derechos del niño que dispone que “todas las medidas concernientes a los niños que tomen las instituciones públicas o privadas de bienestar social, los tribunales, las autoridades administrativas o los órganos legislativos, una consideración primordial a que se atenderá será el interés superior del niño” y el art. 24.2 de la Carta de derechos fundamentales que recoge este mismo principio. Se cita, asimismo, jurisprudencia del Tribunal Europeo de Derechos Humanos, en la que resuelve el caso tomando en consideración el principio que exige actuar de acuerdo con el interés superior del menor (SSTEDH de 7 de marzo de 2017, asunto R.L.y otros c. Dinamarca, §66; de 10 de febrero de 2015, asunto Penchevi c. Bulgaria, § 75, y de 8 de julio de 2003, asunto Sahin c. Alemania, §66).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señala que el art. 39 CE, en sus apartados 2 y 4, recoge implícitamente el principio del interés superior del menor (STC 99/2019, de 18 de julio, FJ 7) y que este principio se encuentra expresamente recogido en el art. 2 de la Ley Orgánica 1/1996, de 15 de enero, de protección jurídica del menor, de modificación parcial del Código civil y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principio insiste en que ha inspirado la regulación de la custodia compartida, así como la jurisprudencia recaída sobre estas normas, advirtiendo que enuncia un concepto jurídico indeterminado que no puede definirse en abstracto, sino que ha de ser identificado en el caso concreto y en función de las circunstancias concurrentes. Ahondando en el régimen de custodia compartida, afirma que el art. 92.8 CC excepcionalmente permite que el juez la acuerde, aunque solo la solicite uno de los progenitores, si solo así se protege adecuadamente el interés superior del menor. Sin embargo, el inciso cuestionado, al no prever ninguna excepción basada en el interés superior del menor e impedir la custodia compartida cuando se den las circunstancias que esta norma prevé (que cualquiera de los progenitores este incurso en un delito relacionado con la violencia doméstica), está limitando el principio de protección del menor que se deriva del art. 39.2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pone de manifiesto que de la jurisprudencia del Tribunal Europeo de Derechos Humanos se desprende que la esencia de la vida familiar protegida por el art. 8 CEDH es la convivencia y que los progenitores y los hijos puedan disfrutar de su compañía mutua constituye un elemento fundamental de la noción de vida familiar (se cita la STEDH de 26 de marzo de 2013, asunto Zorica Jovanović c. Serbia, § 68). De ahí que cualquier medida que impida ese disfrute constituye una injerencia en el derecho protegido en el art. 8 CEDH (se cita la STEDH de 5 de abril de 2005, asunto Monory c. Rumanía y Hungría, §70). De esta jurisprudencia deduce que el art. 8 CEDH preserva las relaciones entre los progenitores y los hijos con la mayor amplitud posible, por lo que solo pueden ser limitadas cuando lo aconseje el interés superior del menor en atención a las circunstancias concurrentes. Esta consideración lleva a sostener que la prohibición de la custodia compartida que contiene el inciso primero del art. 92.7 CC, constituye una injerencia en el derecho a la vida familiar y a la vida privada que garantiza el art. 8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también que, aunque la Constitución Española no reconoce el derecho a la vida familiar y a la vida privada, ello no significa que este derecho no tenga protección constitucional, pues su tutela está garantizada por los principios que garantizan el libre desarrollo de la personalidad y que aseguran la protección social, económica y jurídica de la familia (arts. 10.1 y 39.1 CE), citando las SSTC 53/1995, de 11 de abril, FFJJ 3 y 8; 93/2013, de 23 de abril, FJ 8; 186/2013, de 4 de noviembre, FJ 7; 131/2016, de 18 de julio, FJ 6, y 81/2020, de 15 de julio, FJ 11. Por ello, considera que el inciso cuestionado puede ser lesivo de los citados principios constitucionales. Se señala que la proyección de la paternidad y maternidad forma parte del ámbito restringido en el que se desenvuelve la propia personalidad, por lo que se encuentra protegido por el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que plantea la cuestión analiza a continuación si las limitaciones que impone el art. 92.7 CC al principio de protección del menor que se deriva del art. 39.2 y 4 CE; al principio que garantiza el libre desarrollo de la personalidad (art. 10.1 CE); a la protección de la familia que garantiza el art. 39.1 CE, en relación con el derecho a la vida familiar y privada (art. 8 CEDH) persiguen una finalidad legítima y si son razonables y proporcionadas.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esta norma tiene una finalidad legítima pues, por una parte, intenta preservar a los hijos de cualquier forma de violencia que pudieran padecer directamente o indirectamente (si se ejerce sobre el otro progenitor) y, garantizar un adecuado desarrollo del régimen de custodia, pues si la relación entre los padres ha sido o es violenta podría repercutir en el bienestar de los menores; y, por otra, pretende proteger a las víctimas de violencia doméstica, pues no es aceptable colocar a quien ha padecido esta situación abusiva en régimen de igualdad con su victimario, en orden a establecer una relación continuada de colaboración que permita el adecuado desenvolvimiento del régimen de custodia compartida. No obstante, considera que si tales medidas no garantizan el interés del menor las referidas finalidades no podrán considerarse constitucionalmente legitimadas, lo que requiere un examen individualizado de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art. 92.7 CC, al no establecer ninguna excepción a la prohibición de la guardia conjunta en los casos de violencia familiar, podría no estar atendiendo al interés superior del menor, pues, atendiendo a las circunstancias del caso concreto, pudiera ser que el interés superior del menor exigiera otorgar la guarda conjunta a los progenitores, que es, a su entender, lo que ocurre en el caso del que trae causa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además, que en el Código civil no se impide atribuir la custodia individual a un progenitor que esté incurso en un proceso penal relacionado con la violencia doméstica, pero sí prohíbe otorgar la custodia compartida, lo que podría dar lugar a atribuir la guardia a un progenitor sobre quien el legislador, en el inciso cuestionado, ha proyectado una sospecha de inhabilidad para el desempeño de su responsabilidad basándose en la pendencia de un proceso penal seguido contra él por violencia familiar. Por ello considera que en estos casos la prohibición de custodia compartida no es acorde con el interés del menor, pues si su finalidad es apartar al menor de un peligro (del progenitor al que se atribuye la conducta delictiva en el ámbito familiar), la norma resulta irrelevante porque no impide que el menor acabe bajo su custodia. Se afirma también que la prohibición que esta norma establece no resulta necesaria, pues se conseguiría el mismo fin estableciendo una excepción que, con las cautelas precisas, permita establecer la guardia conjunta, cuando de las circunstancias del caso resulte que ese régimen de custodia se adecúa mejor al interés superior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considera que el inciso primero del art. 92.7 CC podría ser contrario al principio que impone actuar atendiendo al interés superior del menor (art. 39.2 y 4 CE); al principio que garantiza el libre desarrollo de la personalidad (art. 10.1 CE); al derecho a la vida familiar (arts. 10.1 y 39.1 CE en relación con el art. 8 CEDH), y al derecho a la vida privada (art. 10.1 CE en relación con el art. 8 CEDH), y, en consecuencia, acuerda plantear cuestión de inconstitucionalidad respecto del referido inciso.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mediante providencia de 15 de diciembre de 2020, acordó admitir a trámite la presente cuestión de inconstitucionalidad, de conformidad con el art. 10.1 c) de la Ley Orgánica del Tribunal Constitucional (LOTC), reservar para sí el conocimiento de la misma, dar traslado de las actuaciones recibidas, conforme al art. 37.3 LOTC, al Congreso de los Diputados y al Senado, al Gobierno y a la fiscal general del Estado, para que se personaran y formularan las alegaciones pertinentes. Asimismo, se acordó comunicar la citada providencia al Juzgado de Violencia sobre la Mujer núm. 1 de Jerez de la Frontera, para que, de conformidad con el art. 35.3 LOTC, permanezca suspendido el proceso hasta la resolución definitiva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presidentes del Congreso de los Diputados y del Senado se personaron mediante sendos escritos de 13 y 18 de enero de 2021, en los que ofrecían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registrado en este tribunal con fecha de 15 de enero de 2021, tras formular las alegaciones que estimó oportunas, solicitó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destaca el carácter provisional de la medida prohibitiva del art. 92.7 CC, en el seno del procedimiento civil, en tanto se esclarece la responsabilidad penal o la culpabilidad del progenitor imputado o acusado de graves delitos en el ámbito familiar. A su entender, la disposición no vulnera el art. 39 CE, dado que la finalidad de protección del menor que persigue es evidente. Subraya que no consiste en una sanción a los progenitores, sino simplemente una medida preventiva adoptada por el legislador en contemplación de la gravedad de los delitos en los que podrían estar en curso y al riesgo al que podría estar sometido el menor. Advierte, en este sentido, que la legitimidad del órgano judicial y la función propia que está llamado a cumplir en un Estado de Derecho, habida cuenta de la importancia de la regulación de las relaciones familiares y del interés del menor, no es incompatible con que, en orden a la prevención de determinados casos graves, el legislador pueda establecer la interdicción del otorgamiento de la custodia compartida a los progenitores. Se trata, en definitiva, de proteger preventivamente los intereses del menor ante o sobre la base de la comprobación de unos hechos objetivos y graves que el legislador ha ponderado.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la abogacía del Estado que no puede interpretarse el primer inciso de la norma cuestionada sin tener en consideración el segundo, pues cuando todavía no existe imputación o acusación penal, queda a la valoración del juez, a la vista de las circunstancias en las que se encuentra el menor, la decisión acerca de cuál sea el régimen de custodia más adecuado. A su juicio, la prevención que el legislador ha introducido tiene tan solo carácter provisional y su objetivo es proteger un bien o interés constitucional que en ese momento debe considerarse más digno de tutela que el de la custodia compartida, como situación en principio más deseable, lo que encauza adecuadamente con los principios garantizados por los arts. 39 y 10 CE y por los acuerdos internacionales suscritos por España en orden a la protección del menor (especialmente con el art 2.2 de la Convención de derechos del niño, que insta a los órganos legislativos adoptar cuantas medidas sean necesarias para la protección del niño atendiendo siempre a su interés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entiende el abogado del Estado que el precepto objeto de la cuestión resulta constitucional, sin que se aprecie en él vulneración alguna en materia de protección de la familia, de los derechos del menor y del derecho a la intimidad, por lo que solicita la desestimación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fiscal general del Estado presentó sus alegaciones el 12 de febrero de 2021, solicitando igualmente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exposición delimitando los derechos fundamentales y principios constitucionales afectados por el cuestionado art. 92.7 CC, subrayando cómo el primero de ellos es el de protección o satisfacción del interés superior del menor que consagra el art. 39 CE en sus apartados 2 y 4. Así, tras recordar la doctrina constitucional, normativa y tratados internacionales sobre la protección del menor, concluye que se trata de un bien constitucional suficientemente relevante para motivar la adopción de medidas legales que restrinjan otros derechos y principios constitucionales. Por lo demás, sostiene que, efectivamente, también está concernida la vida familiar y privada de las partes pues, aunque la no convivencia de los padres no pone fin a la vida familiar (STEDH de 21 de junio de 1988, asunto Berrehab c. Países Bajos, § 21), lo cierto es que “el art. 8 del CEDH implica el derecho de un progenitor a obtener medidas adecuadas para reunirse con su hijo y la obligación de las autoridades nacionales de adoptarlas” (Eriksson c Suecia, 22 de junio de 1989, § 71; Olsson c. Suecia, 27 de noviembre de 1992, § 90; Saleck Bardi c. España, 24 de mayo de 2011, § 53); derecho a la vida familiar que, aun no reconocido expresamente en la Constitución Española, no por ello carece de protección constitucional (STC 236/2007, de 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procede a realizar el juicio de proporcionalidad de la medida legislativa contenida en el art. 92.7 CC, como presupuesto de constitucionalidad de la misma. Así, comenzando con la legitimidad constitucional de la finalidad perseguida por la norma cuestionada, concluye que, al ser la preservación de los hijos de cualquier forma de violencia directa o indirecta y, a su vez, la protección de las víctimas de violencia de género, debe considerarse constitucionalmente legítima, pues tanto el art 39 CE incorpora este mandato dirigido a todos los poderes públicos, como ostentan la naturaleza constitucional de fundamentales los derechos a la vida, integridad, libertad y seguridad. Respecto al objetivo de salvaguardia de menores y madres hace hincapié en que se trata de un objetivo único e inescindible, porque solo si hijos y madres son protegidos, quedarán protegidos individualmente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juicio de adecuación, tras examinar la norma en su contexto histórico y normativo, su evolución en otros textos nacionales e internacionales y dar cuenta de la situación real en que se encuentran los niños y niñas víctimas de violencia doméstica o que conviven con madres que la padecen, concluye que hay unanimidad en la apreciación de su consideración como víctimas que sufren una situación gravemente dañina para su evolución y desarrollo psicosocial, a lo que debe añadirse el riesgo de ser utilizados como instrumento de control y maltrato a la mujer. Por consiguiente, a juicio del Ministerio Fiscal, la prohibición contenida en el art. 92.7 CC es adecuada, en tanto contribuye a una efectiva protección de los menores respecto de un mal cierto y, a su vez, a la protección de sus madres. Advierte, en este sentido, que el hecho de que la prohibición legal afecte solo a la custodia compartida no convierte en inadecuada la norma. Las razones son claras: la previsión legal no excluye que los presupuestos recogidos en la norma se tengan en cuenta por el juzgador para no adjudicar la custodia individual a aquel progenitor que esté incurso en un procedimiento penal por violencia intrafamiliar y, en segundo término, porque el hecho de que no se haya excluido la posibilidad de una custodia individual, no resta la razonabilidad a la norma cuestionada. Todo lo más, podía poner en evidencia la falta de previsión legislativa para aquellos otros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referencia al juicio de necesidad, entiende la fiscal general del Estado que la custodia compartida exige, como presupuesto ineludible, una adecuada relación personal entre los progenitores basada en el respeto mutuo, lo que es incompatible con los supuestos de violencia de género o doméstica, que precisamente por su afectación a la vida familiar se consideran de especial gravedad. Con esta norma prohibitiva se pretende, precisamente, alejar al menor de la elevada tensión que en tales casos existe entre los progenitores y que previsiblemente generará continuos conflictos en la custodia, afectándole negativamente.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posibilidad sostenida por el órgano judicial que plantea la cuestión de salvaguardar el interés superior del menor introduciendo excepciones a la prohibición del art. 92.7 CC, entiende que supondría en realidad la desaparición de la norma, pues otorgaría al juez un amplio margen de discrecionalidad, equiparable al que le concede los arts. 92.2 y 5 CC cuando no existe violencia familiar, preceptos que indudablemente no satisfacen la finalidad perseguida por el cuestionado que es la de proteger eficazmente a los menores y a sus madres en situaciones excepcionalmente graves de violencia doméstica y/o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por lo que se refiere a la posibilidad de conseguir el objetivo perseguido por la norma a través de otras medidas menos intrusivas, en concreto, acordando las medidas cautelares reguladas en el art. 544 bis y ter de la Ley de enjuiciamiento criminal (LECrim), sostiene el Ministerio Fiscal que no convierten en innecesario el art. 92.7 CC. Así, analizando pormenorizadamente las medidas cautelares penales reguladas en el art. 544 bis y ter LECrim, y las civiles del art. 65 y 66 de la Ley Orgánica 1/2004, llega a la conclusión de que la prohibición regulada en el art. 92.7, inciso primero, CC satisface las exigencias del principio de necesidad, por cuanto no existen otras medidas menos gravosas que, sin imponer sacrificio alguno de derechos fundamentales o con un sacrificio menor, sean igualmente aptas para proteger a los menores que conviven en entornos violentos como los descritos en el precepto, salvaguardar su superior interés (art. 39 CE) y proteger a las madres.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la fiscal general del Estado examinando si las limitaciones al principio de libre desarrollo de la personalidad (art. 10.1 CE) y a la vida privada y familiar de los litigantes (art. 8 CEDH) están justificadas constitucionalmente por la finalidad de proteger el interés superior del menor y a sus madres que persigue el art. 92.7, inciso primero, CC. Sobre esta particular sostiene que la medida es proporcional, ya que es más beneficiosa y aporta más ventajas al menor que perjuicios para los progenitores pues, protege sin ambages a los hijos y a las víctimas de violencia de género y doméstica, afectando el sacrificio impuesto exclusivamente al régimen de custodia, sin vetar la posibilidad de que el juez acuerde un régimen de visitas y contactos que, una vez ponderadas las circunstancias concurrentes y adoptando las medidas que garanticen la seguridad y la recuperación de los niños y de sus madres (art. 66 de la Ley 1/2004), hagan posible la realización de los derechos de los progenitores a relacionarse con sus hijas e hijos, derecho que en todo caso debe de ceder ante el superior interés de los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solicita la desestimación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julio de 2022, se acordó señalar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Delimitación del objeto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presente cuestión de inconstitucionalidad es el primer inciso del art. 92.7 del Código civil (en adelante, CC), en la redacción dada por la Ley 15/2005, de 8 de julio, por la que se modifica el Código civil y la Ley de enjuiciamiento civil en materia de nulidad, separación y divorcio. Dicho precepto dispone que “[n]o procederá la guarda conjunta cuando cualquiera de los padres esté incurso en un proceso penal iniciado por atentar contra la vida, la integridad física, la libertad, la integridad moral o la libertad e indemnidad sexual del otro cónyuge o de los hijos que convivan con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92.7 CC ha sido modificado posteriormente por la Ley Orgánica 8/2021, de 4 de junio, de protección integral a la infancia y la adolescencia frente a la violencia y, después por la Ley 17/2021, de 15 de diciembre, de modificación del Código civil, la Ley hipotecaria y la Ley de enjuiciamiento civil, sobre el régimen jurídico de los animales. No obstante, el inciso cuestionado no se ha visto alterado por las citadas reformas legales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mediante el que se plantea la cuestión de inconstitucionalidad se suscita la duda sobre si la norma cuestionada —en cuanto prohíbe que pueda establecerse un régimen de custodia compartida de los hijos menores cuando cualquiera de los progenitores esté incurso en un proceso penal por violencia de género o doméstica— puede suponer una vulneración de los derechos constitucionales contenidos en los arts. 10.1, 39.1, 39.2 y 39.4 CE. El Juzgado de Violencia sobre la Mujer núm. 1 de Jerez de la Frontera plantea mediante el expresado auto si tal prohibición legal puede constituir una restricción desproporcionada al principio del favor filii y del libre desarrollo de la personalidad garantizado por la Constitución española, argumentando que pueden existir supuestos, como ocurre en el que está sometido a su enjuiciamiento, en los que, a pesar de que los progenitores estén incursos en procesos penales por delitos de violencia familiar, el régimen de guarda conjunta sea el más beneficioso para los menores. El juzgado entiende que se puede lograr el mismo resultado perseguido por la norma introduciendo una excepción que, con las cautelas que se consideren necesarias, permita al órgano judicial establecer la custodia conjunta cuando de las circunstancias del caso resulte que ese régimen se adecua mejor al interés superior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la fiscal general del Estado han solicitado la desestimación de la cuestión. Argumentan sobre el carácter provisional de la medida legal de protección del menor ante situaciones objetivas de grave violencia familiar, que hace primar su mayor beneficio frente a otros bienes o intereses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al juicio de proporcionalidad, el Ministerio Fiscal sostiene la legitimidad constitucional de la medida prohibitiva, en tanto trata de preservar a los menores de cualquier forma de violencia y daño físico o moral, que encuentra su fundamento principal en el mandato del art. 39 CE. La interdicción de la guardia compartida, por consiguiente, ha de reputarse adecuada, en tanto contribuye a una efectiva salvaguarda de niños y madres respecto a un mal 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juicio de necesidad, el Ministerio Fiscal sostiene que el inicio de un proceso penal por violencia familiar hace que decaiga el presupuesto esencial para el establecimiento de una custodia compartida, que es una relación de respeto mutuo y buen entendimiento entre los progenitores. Tras analizar otras posibles medidas de protección, concluye que, si bien pudieran resultar menos gravosas para los padres, no serían igualmente aptas para resguardar la integridad física y moral de los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establecida en el art. 92.7 CC, por consiguiente, a juicio del Ministerio Fiscal, debe considerarse proporcionada y ajustada a los cánones que impone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procesales para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concurrencia de los requisitos procesales exigidos por el art. 35 LOTC puede ser examinada no solo en el trámite de admisión previsto en el art. 37 LOTC, sino también en la sentencia que ponga fin al proceso constitucional (entre otras muchas, STC 126/2021, de 3 de junio, FJ 2) y este examen, en tanto que afecta a los presupuestos de admisión, es una cuestión de orden público procesal que puede efectuarse de oficio por el Tribunal (STC 57/2017, de 11 de mayo, FJ 1, que, a su vez, cita las SSTC 196/1987, de 11 de diciembre, FJ 2; 87/1991, de 25 de abril, FJ 1, y 174/1998, de 23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de estos requisitos es el llamado juicio de relevancia, que exige que la decisión del proceso a quo dependa de la validez de la norma cuestionada (art. 35.2 LOTC). Este requisito, como ha declarado de forma reiterada la jurisprudencia constitucional (entre otras, SSTC 1/2016, de 18 de enero, FJ 2; 175/2016, de 17 de octubre, FJ 3; 57/2017, FJ 1, y 64/2019, de 9 de mayo), tiene como finalidad impedir que la cuestión de inconstitucionalidad pueda quedar desvirtuada por un uso no acomodado a su naturaleza y finalidad, lo que sucedería si se utilizase para obtener pronunciamientos innecesarios o indiferentes para la decisión del proceso en que se suscita, de manera que el control de constitucionalidad se convierta en un control abstracto. Por ello el Tribunal ha afirmado que esta exigencia “constituye uno de los requisitos esenciales de toda cuestión de inconstitucionalidad, por cuanto a su través se garantiza el control concreto de la constitucionalidad de la ley, impidiendo que el órgano judicial convierta dicho control en abstracto, al carecer de legitimación para ello” (SSTC 166/2007, de 4 de julio, FJ 7; 10/2015, de 2 de febrero, FJ 2, y 1/2016, de 18 de enero,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declara la jurisprudencia constitucional (entre otras muchas, STC 255/2015, de 30 de noviembre, FJ 2) para que se cumpla este requisito “debe darse una verdadera ‘dependencia’ (STC 189/1991, de 3 de octubre, FJ 2), o un ‘nexo de subordinación’, entre el fallo del proceso y la validez de la norma cuestionada (STC 157/1990, de 18 de octubre, FJ 1). No basta con que el órgano judicial considere que la norma es aplicable al caso, sino que también ha de satisfacerse el requisito de la relevancia, ya que la aplicabilidad de la norma es condición necesaria para que el fallo dependa de su validez, pero no es condición suficiente (SSTC 17/1981, de 1 de junio, FJ 4, y 156/2014,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declarado, que el juicio de relevancia ha de ser entendido como el “esquema argumental dirigido a probar que el fallo del proceso judicial depende de la validez de la norma cuestionada”. La ausencia o falta de consistencia de este esquema argumental determina la inadmisibilidad de la cuestión de constitucionalidad por falta de relevancia, pues en otro caso al Tribunal “no le corresponde sustituir o rectificar el criterio del órgano judicial al respecto” (STC 44/2019, de 27 de marzo,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Insuficiencia del juicio de relevancia realizado por el órgano que plantea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observa que en el apartado 6 del fundamento de Derecho primero del auto de planteamiento se afirma que por auto de 24 de septiembre de 2019 del Juzgado de Instrucción núm. 4 de Jerez de la Frontera se concedió una orden de protección a favor de la señora V.C., consistente en la prohibición de aproximación por parte del señor C.M., a menos de 300 metros y de comunicarse con aquella por cualquier medio. En el auto de planteamiento, apartado 11 del fundamento de Derecho primero, se indica que “[l]as medidas de protección siguen vigentes”.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no incluye argumentación alguna —a los efectos del juicio de relevancia que formula— en relación con la existencia y efectos de las referidas medidas cautelares de carácter penal. Si, como se afirma en el auto de planteamiento, tales medidas siguen vigentes no es posible atribuir a los padres la custodia compartida. Como ha declarado reiteradamente la jurisprudencia del Tribunal Supremo (entre otras muchas, SSTS 23/2017, de 17 de enero, FJ 8, y 729/2021, de 27 de octubre, FJ 7), para que este régimen pueda acordarse es preciso que los progenitores puedan tener comunicación entre ellos, pues solo de este modo pueden adoptarse las decisiones consensuadas que esta forma de custodia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resulta inevitable concluir que la resolución que haya de dictarse en el proceso a quo no depende de la constitucionalidad del art. 92.7 CC, pues el juzgado no ha dilucidado si la imposibilidad de acordar la custodia compartida deriva de lo previsto en esta norma o surge forzosamente de la existencia de unas medidas de protección adoptadas en el proceso penal iniciado por la denuncia formulada por la madre de los menores contra el padre de estos —proceso que se tramita en ese mismo juzgado—. Estas medidas conllevan no solo la prohibición de que el señor C.M. —padre de los menores— pueda aproximarse a la señora V.C. —madre de los menores— a menos de 300 de metros, sino también la prohibición de comunicarse con ella por cualquier medio. No existe, por tanto, la “dependencia” (STC 189/1991, FJ 2), o el “nexo de subordinación” (STC 157/1990, FJ 1) entre la resolución que ha de dictar el juez en el proceso y la validez de la norma cuestionada que la jurisprudencia constitucional exige para tener por válidamente planteada la cuestión, pues, en tanto se aprecie que siguen en vigor las medidas cautelares de orden penal adoptadas para proteger a la madre de los menores, al impedir estas medidas cualquier tipo de comunicación entre los progenitores, hacen inviable el régimen de custodia conjunta que solicitan los padres de los menores, con independencia de lo que establece el art. 92.7 CC.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