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y acordar la anotación preventiva de la demanda de amparo sobre las fincas objeto de ejecución hipotecaria en el procedimiento de ejecución hipotecaria núm. 123-2013 E, seguido en el Juzgado de Primera Instancia e Instrucción núm. 1 de la Seu d’Urgell.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agosto de 2021, la procuradora de los tribunales doña María Lourdes Madrid Sanz, en nombre y representación de la mercantil Selton, S.L.U., y bajo la dirección letrada de don José Amadeo Mor Lorente, interpuso recurso de amparo contra las diligencias de ordenación de fechas 27 de enero, 26 de febrero, 23 de marzo y 26 de mayo de 2021 que inadmitieron los recursos de reposición y el incidente de nulidad interpuesto inicialmente contra el auto de 27 de noviembre de 2020 del Juzgado de Primera Instancia e Instrucción núm. 1 de la Seu d’Urgell, que denegó su solicitud de personación en el procedimiento de ejecución hipotecaria núm. 123-2013 E, y posteriormente contra las sucesivas diligencias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auto del Juzgado de Primera Instancia e Instrucción núm. 1 de la Seu d´Urgell de 9 de mayo de 2013, en el procedimiento de ejecución hipotecaria núm. 123-2013 E, se autorizó el despacho de la ejecución hipotecaria a instancia del Banco Popular Español, S.A. (posteriormente el Banco Santander, S.A.), contra Gran Edén, S.L., con fundamento en sendas escrituras públicas de constitución de préstamo hipotecario y novación de fechas 18 de junio de 2006 y 11 de febrero de 2010. Por auto del mismo juzgado de 30 de julio de 2015 se desestimó la oposición a la ejecución formulada por Gran Edén, S.L. Finalmente, tras algunas incidencias procesales, celebrada la subasta de las fincas hipotecadas se dictó decreto por la letrada de la administración de justicia el 15 de febrero de 2022 aprobando el remate a favor del Banco Popular Español,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representación de Selton, S.L.U., el 25 de febrero de 2020 presento escrito ante el Juzgado de Primera Instancia e Instrucción núm. 1 de la Seu d’Urgell, por el que amparándose en el art. 13.1 de la Ley de enjuiciamiento civil (en adelante LEC), solicitaba personarse en el referido procedimiento de ejecución hipotecaria, al entender que podrían resultar afectados sus derechos de tanteo y retracto reconocidos en el contrato celebrado en fecha 30 de diciembre de 2016 entre Selton, S.L.U., y Gran Edén, S.L. sobre parte de los bienes sobre los que se seguía el procedimiento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27 de noviembre de 2020 se desestimó la solicitud de personación formulada por Selton, S.L.U. En la resolución se argumenta que no concurre el alegado interés legítimo toda vez que los derechos que se le pueden vulnerar pueden ser salvaguardados en su caso en el procedimiento ordinario correspondiente y no en el ejecutivo. El auto se refiere a la normativa procesal aplicable en relación con la intervención de los posibles ocupantes de una vivienda objeto de ejecución, y descarta que exista interés alguno que deba salvaguardarse en el procedimiento pues lo alegado es completamente ajeno al procedimiento ejecutivo. En la parte dispositiva de dicha resolución se indicaba que contra la misma se podía interponer recurso de reposición en el plazo de cinco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Posteriormente las diligencias de ordenación de la letrada de la administración de justicia de fechas 27 de enero, 26 de febrero, 23 de marzo y 26 de mayo de 2021, inadmitieron tanto el recurso de reposición contra el auto de 27 de noviembre de 2020, al carecer el recurrente de la condición de parte, como los posteriores recursos de reposición y el incidente de nulidad de actuaciones, interpuestos contra las sucesivas diligencias de ordenación posteriores, por esa misma razón.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denuncia la vulneración del derecho a la tutela judicial efectiva (art. 24.1 CE), por las sucesivas diligencias de ordenación, al imposibilitar el control judicial de las decisiones de los letrados de la administración de justicia, apartándose de la doctrina expuesta en las SSTC 58/2016 y 15/2020. Considera que han sido las reiteradas diligencias de ordenación de la letrada de la administración de justicia las que han imposibilitado la tramitación del recurso interpuesto contra el auto de 27 de noviembre de 2020, pese a que en el mismo se indica la posibilidad de interponer contra el mismo recurso de reposición. Añade que el art. 13 LEC prevé ese mismo recurso de reposición contra las resoluciones que resuelven las solicitudes de intervención voluntaria de sujetos que originariamente no son ni demandantes ni demandados.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habiéndose “cerrado la vía de todo recurso arbitrariamente o intuito personae por un secretario judicial de una manera además totalmente inmotivada, haciendo caso omiso de la existencia de la doctrina constitucional expuesta y privando a la parte a su derecho a que la resolución por ella impugnada sea examinada y revisada por quien está investido de jurisdicción, es indudable que ha habido un déficit de tutela en términos constitucionales, lesionando, en consecuencia, el derecho a la tutela judicial efectiva de la demandante de amparo, en su vertiente de derecho de acceso a los recursos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y con el fin de evitar daños y perjuicios de imposible o difícil reparación, solicita la suspensión cautelar de la ejecución mientras se resuelve el recurso de amparo. Entiende que el daño real resulta de la pérdida de los derechos de adquisición preferente (tanteo y retracto) de la vivienda arrendada, adquiridos en virtud del “contrato de arrendamiento de edificio de viviendas para su gestión y explotación como viviendas” celebrado el 30 de diciembre de 2016. Indica que, de llevarse a cabo la subasta y adjudicación del inmueble, tendrá que abandonar la finca, siendo privado de la posesión y goce del inmueble del que es arrendatario, sin que la suspensión produzca una perturbación grave a interés alguno constitucionalmente protegido, ni ocasione perjuicios a derechos o intereses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septiembre de 2022, la Sección Segunda de este tribunal acordó admitir a trámite el recurso de amparo,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 y dirigir atenta comunicación al Juzgado de Primera Instancia e Instrucción núm. 1 de la Seu d'Urgell, a fin de que, en plazo que no excediera de diez días, emplace a quienes hubieran sido parte en el proceso del que trae causa el presente recurso de amparo, excepto a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acordó formar la correspondiente pieza separada de suspensión, en la que, por diligencia de ordenación de la misma fecha, conforme a lo dispuesto en el art. 56 LOTC, se concedió un plazo común de tres días a la parte solicitante de amparo y al Ministerio Fiscal para que alegaran lo que estimasen pertinente sobre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escrito registrado el 16 de septiembre de 2022, la parte recurrente presentó sus alegaciones, reiterando los argumentos expuestos en la demanda de amparo respecto de la solicitud de suspensión y ofreciendo la prestación de la fianza que en su caso fijara 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30 de septiembre de 2022, formuló alegaciones oponiéndose a la suspensión de la ejecución solicitada y en su lugar, considera procedente acordar la medida cautelar de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y reproducir fragmentos literales de la doctrina constitucional referente a la posibilidad de suspensión del acto o resolución impugnados en amparo, destaca el fiscal, que procede dar la misma respuesta que en otros procesos, en los que se ha estimado que no procede la suspensión de la ejecución, sino la adopción de la medida cautelar de anotación preventiva de la demanda (AATC 27/2020 y 28/2020, de 24 de febrero). Es por ello por lo que se opone a la medida de suspensión de la ejecución interesada, y considera la procedencia de acordar, de modo alternativo, la medida cautelar de anotación preventiva de la demanda de amparo en el registro de la propiedad, en cuanto, que se reputa medida suficiente e idónea para evitar el perjuicio derivado de que la adquisición del bien por tercero lo haga irreivindicable.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las medidas provisionales de suspensión del procedimiento de ejecución hipotecaria núm. 123-2013 E cuestionado y de anotación preventiva de la demanda de amparo en el registro de la propiedad, interesadas la primera por la demandante de amparo y la segunda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la mercantil demandante que, de llevarse a cabo la subasta y adjudicación del inmueble, tendrá que abandonar la finca, siendo privado de la posesión y goce del inmueble del que es arrendatario. El fiscal considera que de las actuaciones remitidas no resulta que la continuación del curso del procedimiento judicial, incluso si se produjera un desplazamiento posesorio, provoque por sí solo un perjuicio determinante de la pérdida de la finalidad del recurso de amparo. Afirma que procede la anotación preventiva de la demanda de amparo al objeto de evitar actos de disposición de la vivienda afectada en favor de terceros de carácter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este tribunal ha entendido por perjuicio irreparable aquel que provoque que el restablecimiento del recurrente en el derecho constitucional vulnerado sea tardío y convierta el amparo en meramente ilusorio y nominal [por todos, AATC 274/2008, de 15 de septiembre; 26/2009, de 26 de enero; 173/2009, de 1 de junio; 190/2015, de 5 de noviembre, FJ 2 a); 59/2017, de 24 de abril, FJ 1, y 147/2017, de 13 de noviembre, FJ 1].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AATC 44/2008, de 11 de febrero, FJ 1; 59/2008, de 20 de febrero, FJ 1; 67/2008, de 25 de febrero, FJ 1; 109/2008, de 14 de abril, FJ 1; 111/2008, de 14 de abril, FJ 1; 118/2008, de 28 de abril, FJ 1, y 172/2008, de 23 de junio, FJ 1).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de carácter patrimonial o económico hemos señalado que, por más que puedan producir efectos desfavorables a quien demanda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solo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11 de abril, FJ 2)” (ATC 117/2018, de 29 de octubre, FJ 2; en el mismo sentido AATC 21/2018, de 5 de marzo, FJ 2, y 66/2008, de 25 de febrero,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que no resulta procedente la suspensión y sí que procede acordar la anotación preventiva solicitada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del presente recurso de amparo tiene que ver con la eventual vulneración del derecho de acceso al recurso (art. 24.1 CE) ocasionada por las reiteradas diligencias de ordenación dictadas por la letrada de la administración de justicia del Juzgado de Primera Instancia e Instrucción núm. 1 de la Seu d’Urgell, que imposibilitaron a la recurrente de amparo impugnar el auto de 27 de noviembre de 2020, por el que se le denegó personación en el procedimiento de ejecución hipotecaria en tanto que titular del derecho de tanteo y retracto convencional sobre las fincas hipotecadas.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mercantil recurrente de amparo, cuyo objeto social es la explotación de viviendas turísticas, apartamentos turísticos y hoteles, pretendía personarse en el procedimiento de ejecución hipotecaria al haber obtenido —varios años después de constituirse y novarse la hipoteca ejecutada—, el derecho a la gestión y explotación de las fincas objeto de la ejecución hipotecaria, así como el derecho de tanteo y retracto sobre las mismas. La personación fue denegada por resolución judicial que no pudo recurrir al inadmitirse los sucesivos recursos interpuestos por diligencias de ordenación de la letrada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de amparo alega que la continuación del procedimiento ocasionaría tener que abandonar el inmueble para luego y, en caso de que el amparo le diera la razón, poder comparecer y ejercitar el derecho de adquisición preferente y volver a acceder nuevamente al mismo. Pero, como se ha indicado, el objeto del recurso de amparo no tiene que ver con la posibilidad de oponer su derecho de adquisición preferente al tercer adquirente, o con las pérdidas patrimoniales por el retraso consustancial derivado del ejercicio de tales derechos de adquisición preferente, sino con la posibilidad de recurrir el auto de 27 de noviembre de 2020 por el que se le deniega la personación en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dado el objeto de este recurso de amparo, si finalmente recayera una sentencia estimatoria, se acordaría la retracción de las actuaciones al momento inmediato anterior a la primera resolución de la letrada de la administración de justicia, por la que se denegó la legitimación de la recurrente para interponer el recurso de reposición, y por tanto este recurso de amparo no perdería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debe darse la razón al Ministerio Fiscal cuando considera necesaria la práctica de la anotación preventiva de la demanda de amparo en el registro de la propiedad para asegurar frente a los terceros el ejercicio del derecho de adquisición preferente que la mercantil recurrente de amparo dice ostentar sobre las fincas ejecutadas, a los efectos de garantizar su eventual ejercicio.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razonamientos anteriores, de conformidad con la doctrina expuesta, y sin prejuzgar la decisión de fondo del recurso, conducen a denegar la medida cautelar de suspensión solicitada y acordar la práctica de la anotación preventiva de la demanda interesada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y acordar la anotación preventiva de la demanda de amparo sobre las fincas objeto de ejecución hipotecaria en el procedimiento de ejecución hipotecaria núm. 123-2013 E, seguido en el Juzgado de Primera Instancia e Instrucción núm. 1 de la Seu d’Urgell.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