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enero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Cándido Conde-Pumpido Tourón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6862-2021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promovido por don Carlos Gutiérrez-Maturana-Larios y Altuna en el presente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octubre de 2021, la procuradora de los tribunales doña María del Carmen Ortiz Cornago, en nombre y representación de don Carlos Gutiérrez-Maturana-Larios y Altuna, interpuso demanda de amparo contra la sentencia núm. 31/2021, de 21 de mayo, dictada por la Sala de lo Civil y Penal del Tribunal Superior de Justicia de Madrid, así como contra el posterior auto de fecha 9 de septiembre de 2021 por el que fue desestimado el incidente excepcional de nulidad de actuaciones presentado por el recurrente frente a la citada sentencia (procedimiento de anulación de laudo arbitral núm. 52-2017).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descritos, son hechos y antecedentes procesales relevantes de los que trae causa la presente demanda de amparo,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art. 26 de los estatutos de la sociedad Mazacruz, S.L., se regula el sometimiento a arbitraje de equidad de las cuestiones que pudieran suscitarse entre los accionistas y la sociedad o entre aquellos directamente, por su condición de tales. En aplicación de esta previsión societaria, doña Bárbara Gutiérrez-Maturana Kalachnikoff, y doña Bárbara y doña Christina Gutiérrez-Maturana-Larios Kalachnikoff, en su condición de socias, formularon en el mes de junio de 2015 solicitud de arbitraje de equidad. Mediante sentencia de 2 de noviembre de 2015, la Sala de lo Civil y Penal del Tribunal Superior de Justicia de Madrid apreció la existencia de la cláusula de arbitraje estatutario y de un conflicto entre los socios, por lo que acordó la designación como árbitros de tres abogados. Realizado el correspondiente sorteo, uno de ellos fue designado árbitro y los otros dos, primer y segundo suplente.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mes de abril de 2016, una vez aceptada la designación por parte del árbitro, las solicitantes del arbitraje de equidad formularon demanda frente a don Carlos Gutiérrez-Maturana-Larios y Altuna y la entidad mercantil Mazacruz, S.L. En ella, habida cuenta de lo que entendían como un “continuo e insoportable abuso de derecho de su posición de control en la sociedad familiar Mazacruz” —de la que los cuatro litigantes son únicos socios—, solicitaron que se declarase su derecho de separación de la sociedad, o la disolución y liquidación de la sociedad misma, como única manera de poner remedio a una situación que consideraban gravemente lesiva de sus derechos patrimoniales.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junio de 2016 el árbitro designado presentó su renuncia por razones personales, por lo que pasó a ejercer tal función el primer árbitro suplente, una vez aceptó el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6 de abril de 2017 se dictó el laudo arbitral en el que, entre otras medidas, se declaró la disolución de la sociedad Mazacruz, con la consiguiente apertura de la sección de liquidación, junto con el cese de los administradores, laudo que fue ratificado por resolución de fecha 25 de mayo de 2017, que desestimó las pretensiones de aclaración, complemento y rectificación que le habían sido formuladas al amparo del art. 39.1 de la Ley 60/2003, de 23 de diciembre, de arbitraje.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Don Carlos Gutiérrez-Maturana-Larios y Altuna impugnó judicialmente el laudo arbitral. Solicitó su nulidad por considerarlo contrario al orden público como consecuencia de haber acordado la disolución y liquidación de la sociedad sin la concurrencia de causa legal o estatutariamente predeterminada. Asimismo, consideró infringido el orden público económico y el principio de la autonomía de la voluntad, al haberse decretado la disolución de la sociedad en contra de las previsiones de sus estatutos, “extralimitando el convenio arbitral”, y cuestionó también la motivación y la valoración de la prueba que se expresaba en el laudo.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 forma complementaria a los motivos de anulación sustantivos expuestos, denunció la arbitrariedad y parcialidad del árbitro. Al desarrollar este último motivo señaló que “no existe ninguna argumentación que demuestre de forma más palmaria la falta de imparcialidad del árbitro que la propia lectura del laudo, con el examen de su motivación, o falta de motivación, y su valoración de la prueba, arbitrariamente dirigida a favorecer los planteamientos de una de las partes, la actora, en total demérito de la otra, cuyas alegaciones y medios de prueba prácticamente no se mencionan en el laudo. Si a ello se suman las decisiones y actitudes del árbitro durante la sustanciación del arbitraje la conclusión no es ya que el árbitro pudiera tener algún ‘prejuicio’ en equidad que le llevara a aproximarse más desde el inicio a las tesis de una parte que a las de la otra, lo que por sí mismo no sería rechazable, aunque pudiera parecer inadecuado, sino que sistemáticamente ha desequilibrado hacia un lado la balanza del trato igual, o la igual consideración de las partes, con lo que la múltiple afección del orden público denunciada en los precedentes motivos de anulación se superpone a la quiebra del principio de igualdad de trato del art. 24.1 de la Ley de arbitraje y, en definitiva, a la falta de imparcialidad como nueva vulneración del orden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alegación concluyó sosteniendo que estaba “fuera de toda duda que la relación de parentesco estrecho (hermanos) entre uno de los letrados que ha intervenido directamente en el arbitraje de la parte actora y uno de los letrados integrantes del despacho del árbitro, radicado precisamente en la misma oficina donde se han desarrollado las actuaciones arbitrales hasta el dictado del laudo que se impugna, debía de haberse revelado inmediatamente a las partes, junto a las circunstancias que, en su caso, agravasen o atenuasen la sospecha de afección de la imparcialidad, y que no habiéndolo hecho así a lo largo de las actuaciones esa circunstancia tiene que ponderarse con ocasión del presente ejercicio de la acción de anulación contra el laudo dictado, poniéndola en relación con las restantes violaciones del orden público y circunstancias del arbitraje que se consignan en este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Sala de lo Civil y Penal del Tribunal Superior de Justicia de Madrid dictó sentencia núm. 1/2018, de 8 de enero, en la que estimó la demanda de anulación del laudo arbitral de 6 de abril de 2017, ratificado por resolución arbitral del siguiente día 25 de mayo, declarando, en consecuencia, su nulidad, tras cuestionar la motivación de la decisión arbitral: la decisión judicial concluía señalando que el laudo cuya anulación se pretendía “no da respuesta a todas las cuestiones planteadas en el arbitraje, no valora las pruebas en su integridad, y no contiene una motivación suficiente para llegar a una conclusión tan importante como la disolución de una sociedad por una causa asimilada a la legal, el abuso del derecho, ya que si bien es cierto que el arbitraje de equidad tiene su base en las condiciones fácticas del caso específico, lo que implica una flexibilidad del mismo, incluso siendo posible apartarse de la aplicación de las normas jurídicas estrictas, cuando los hechos especiales del caso así lo requieren, tal y como acertada y extensamente trata el tema el árbitro, para que la resolución o resoluciones sean equitativas o justas, lo cierto es que en los arbitrajes de equidad el árbitro o tribunal arbitral debe evaluar las pruebas y justificar en el laudo arbitral de equidad la resolución o resoluciones contenidas en el mismo. De tal manera que las bases de equidad parten de los hechos, los que se evalúan y justifican una determinada decisión considerando inclusive las particularidades de la controversia planteada, por cierto, muy prolija, lo que entendemos que no ha llevado a cabo el árbitro en el presente caso, por lo que la motivación del laudo debe ser considerada arbitraria por falta de motivación suficiente”. La estimación de este motivo de anulación justificó no realizar pronunciamiento alguno sobre la supuesta parcialidad del árbitro.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posterior solicitud de nulidad de actuaciones planteada fue desestimada por auto de fecha de 22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Las decisiones judiciales fueron recurridas en amparo por doña Bárbara Gutiérrez-Maturana Kalachnikoff, doña Bárbara y doña Christina Gutiérrez-Maturana-Larios Kalachnikoff, por considerar que no eran fundadas en Derecho. La solicitud de amparo fue estimada por la Sala Primera de este tribunal en la STC 17/2021, de 15 de febrero, que (i) declaró vulnerado el derecho a la tutela judicial efectiva sin indefensión (art. 24.1 CE) de las demandantes de amparo; (ii) declaró la nulidad de la sentencia de 8 de enero de 2018 y del auto de 22 de mayo de 2018, ambos de la Sala de lo Civil y Penal del Tribunal Superior de Justicia de Madrid, dictados en el procedimiento de nulidad de laudo arbitral ya reseñado; y (iii) acordó retrotraer las actuaciones judiciales al momento anterior al dictado de la primera resolución citada para que se resolviera la acción de anulación de forma respetuosa con los derechos fundamentales reconocidos.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Recibidas las actuaciones, la Sala de lo Civil y Penal del Tribunal Superior de Justicia de Madrid dictó sentencia núm. 31/2021, de 21 de mayo —ratificada mediante auto de 9 de septiembre de 2021—, en la que, con un voto particular discrepante, desestimó íntegramente la acción de anulación, imponiendo las costas al demandante. La decisión judicial analizó los seis motivos de anulación planteados y, en lo que se refiere a la supuesta parcialidad del árbitro, expresó en su fundamento jurídico noveno el siguiente razonamiento desestimatorio: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“Noveno. Como sexto y último motivo se alega: Violación del orden público por falta de imparcialidad en el árbitro. Examinadas las alegaciones en que se basa la denuncia y el contenido del procedimiento arbitral, así como la propia conducta del demandante, procede la desestimación del motivo, por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 cierto que ‘la obligación de todo árbitro [de] ser y permanecer independiente e imparcial’, viene establecida inequívocamente en el art. 17.1 de la Ley de arbitraje y así lo ha venido señalando esta sala, dando por reproducidas a este efecto las sentencias que se citan en la demanda. Es cierto, también, que conforme al art. 17.2 LA: ‘La persona propuesta para ser árbitro deberá revelar todas las circunstancias que puedan dar lugar a dudas justificadas sobre su imparcialidad e independencia. El árbitro, a partir de su nombramiento, revelará a las partes sin demora cualquier circunstancia sobrevenida’. Ahora bien, también es cierto que el demandante podía o debía conocer dicha circunstancia, lo mismo que ahora la pone de manifiesto, pudiendo hacer uso de lo que dispone el último párrafo del mencionado art. 17.2 LA: ‘En cualquier momento del arbitraje cualquiera de las partes podrá pedir a los árbitros la aclaración de sus relaciones con alguna de las otras partes’, disposición que, permitiría preguntar al árbitro acerca de la existencia de los denunciados vínculos.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Más allá de los vínculos y circunstancias familiares que se indican por la parte demandante, entre el abogado señor Javier Juliani y otro letrado (hermano), que al parecer trabaja en el despacho de abogados en el que se integra el árbitro señor Jiménez de Parga, lo cierto es que no se formula la imparcialidad del árbitro sino en, permítasenos la expresión, trazos gruesos: ‘… no existe ninguna argumentación que demuestre de forma más palmaria la falta de imparcialidad del árbitro que la propia lectura del laudo., con el examen de su motivación o falta de motivación y su valoración de la prueba, arbitrariamente dirigida a favorecer los planteamientos de una de las partes, la actora, en total demérito de la otra, cuyas alegaciones y medios de prueba prácticamente no se mencionan en el laudo’. Dicha alegación, sin más, no puede ser acogida pues hace supuesto de la cuestión, desde el momento en que parte de que estamos ante un laudo inmotivado, con una valoración arbitraria, al igual que los argumentos en que se apoya, lo que ha sido objeto de examen en un fundamento precedente de esta sentencia y desestimado. Hace falta algo más que basarse en la desestimación de la pretensión de la parte, para afirmar que es fruto de la imparcialidad, siendo a estos efectos del todo insuficiente el informe de detectives aportado por la parte demandante (doc. 106), que se limita a señalar dicha filiación, tras el cotejo de la página web del despacho Jiménez de Parga con la información recabada del registro civil, versando el resto (99 por 100) del informe a señalar una serie de circunstancias que nada tienen que ver con el presente procedimiento. La solicitud del informe a unos detectives es puramente prospectiva.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Es cierto, una vez más, que la información del árbitro debe ir dirigida a despejar las dudas que puedan surgir entre las partes litigantes, pero no basta, tampoco, con la simple afirmación de que la parte tenga dudas sobre la imparcialidad del árbitro, sino se acompaña de algún principio de prueba o indicio suficiente que permita cristalizar esa duda, en un estadio superior de incertidumbre acerca de la parcialidad o imparcialidad del árbitro. Llegados a este punto, la conducta de la parte demandante resulta incongruente con la realidad de dichas dudas, desde el momento en que no hizo uso, al ser designado el árbitro o durante el procedimiento, si tuvo conocimiento después, de la figura de la recusación —ex art. 17.3 LA—.Atendido lo anterior, el motivo se nos revela como un remedio in extremis —de hecho, es el último motivo que se esgrime en la demanda— para atacar el laudo que le es perjudicial, pero sin la suficiente consistencia para apreciar y afirmar algo tan grave como la infracción del deber de imparcialidad de una persona llamada a laudar”.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9 de septiembre de 2021, al desestimar con un voto particular discrepante la solicitud de nulidad de actuaciones que fue planteada por el señor Gutiérrez-Maturana-Larios y Altuna, la Sala añadió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“Cuarto. […] El mero examen de nuestra resolución, con independencia del acierto de la misma, cuestión de fondo que excede examinar con ocasión del presente incidente de nulidad, pone de manifiesto que existe una fundamentación que aborda expresamente las cuestiones planteadas por la parte demandante en relación a la petición de anulación del laudo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afirmación la mantenemos, tanto en relación con la denunciada irrazonabilidad de nuestra resolución frente a la alegación de falta de imparcialidad del árbitro, como en relación con la resolución del motivo de anulación relativo a la disolución y liquidación de Mazacruz, S.L., así como en cuanto a privar a la parte de sus derechos con una motivación irracional y arbitraria y, en fin, en cuanto al rechazo del cuarto motivo de anulación del laudo.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primera cuestión, no podemos sino poner en valor lo que señala la parte contraria y es la trascendencia que alcanza, con ocasión del incidente de nulidad, la cuestión de la denunciada falta de imparcialidad del árbitro, cuando en la demanda de anulación era una cuestión tratada accesoriamente.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señalábamos en nuestra resolución que no desconocíamos la obligación que para el árbitro se desprende del art. 17 LA, pero lo anterior lo tratábamos conjuntamente con lo que también disponía el art. 17.2 en su último párrafo, respecto de la diligencia que es exigible a las partes en este tema de la posible falta de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incidentante hace especial hincapié en la primera parte, con apoyo en el voto discrepante. En definitiva, estaríamos ante una discrepancia en la interpretación del precepto. En cualquier caso, la Sala explica por qué opta por la respuesta que se da, bastando la mera lectura de nuestra resolución, aunque no se comparta.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cabe señalar: a) Que la mera falta del deber de revelación no siempre infringe el deber previsto en el art. 17 LA, en la medida en que realmente no afecte a la parcialidad del árbitro. No basta la mera sospecha —que es lo único que la parte demandante aportaba—sino que hace falta aportar un principio de certeza de dicha falta de imparcialidad. Ello al margen de que la falta de imparcialidad debe venir referida sustancialmente con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 ha considerado en sentencias como la SAP Madrid, de 15 de septiembre de 2008, STSJ de Castilla y León de 20 de enero de 2015. Por otra parte, no siempre la existencia de vínculos, por ejemplo, económicos o de jerarquía, entre el árbitro y la institución arbitral o alguna de las partes o con el abogado de una de ellas, determina la infracción del deber de revelación. En este sentido cabe citar las SSTSJ de Madrid de 28 de enero de 2015 y 22 de mayo de 2014.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presente la Sala, conforme al criterio mayoritario, valoró la prueba aportada, considerándola insuficiente para pasar de una mera sospecha de falta de imparcialidad a una duda razonable de la misma. Así lo exponemos y razonamos, añadiendo el resto de las razones que fundamentan el rechazo del motivo de nulidad. Existe, por tanto, motivación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denuncia como motivo único la vulneración del derecho a la tutela judicial efectiva del demandante (art. 24.1 CE), en cuanto le garantiza recibir de los tribunales una respuesta fundada en Derecho sobre el fondo de sus pretensiones.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Considera el recurrente que incurre en arbitrariedad e irrazonabilidad la respuesta que las resoluciones judiciales impugnadas han dado a uno de los motivos de su solicitud de anulación del laudo arbitral, concretamente al motivo sexto en el que denunció como contrario al orden público el incumplimiento por el árbitro de la previsión legal que le obliga a revelar todas las circunstancias que puedan dar lugar a dudas justificadas sobre su imparcialidad e independencia (art. 17.2 de la Ley de arbitraje).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Sus objeciones a la respuesta desestimatoria recibida las agrupa en tres apartados: (i) cuestiona como banal la argumentación ofrecida por el órgano judicial en su contestación —que ha sido antes transcrita íntegramente— en cuanto califica como “accesoria” y efectuada “a trazos gruesos” la formulación del motivo de anulación planteado; (ii) dado que afirma haber tenido conocimiento con posterioridad a la emisión del laudo de que uno los letrados de las solicitantes de arbitraje era hermano de un integrante del despacho de abogados del árbitro, entiende que la argumentación judicial desestimatoria incurre en quiebras lógicas relevantes cuando le reprocha no haber pedido aclaraciones al árbitro designado sobre sus relaciones con algunas de las otras partes, tal y como permite el art. 17.2 de la Ley de arbitraje aducido, dando así por hecho que “podía o debía conocer” los vínculos que alega como fundamento de su sospecha de parcialidad; añade que, de esta manera, la obligación arbitral de revelación se desplaza a las partes que se someten a arbitraje, pues se les exige que protagonicen la petición de información o, aún más allá, la propuesta de recusación del árbitro; (iii) por último, en el mismo defecto argumental incurriría la exigencia judicial de un principio de prueba o indicio suficiente que permita cristalizar la afirmada sospecha sobre la imparcialidad del árbitro en una duda fundada y razonable; el recurrente sostiene que dicho criterio es contrario al mandato legal e “impone a la parte en beneficio de la cual se ha establecido una garantía esencial del arbitraje, cual es la independencia e imparcialidad del árbitro, a la que no puede renunciar sino es de manera libre e inequívoca, el cumplimiento de una obligación legal que pesa solo sobre el árbitro”.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Al justificar la especial trascendencia constitucional del recurso de amparo se aduce en la demanda que la cuestión que plantea puede ser asimilada a tres de los casos de especial trascendencia constitucional reseñados en la STC 155/2009, de 25 de junio (FJ 2). Son los siguientes: primero: el de un recurso que plantee un problema o una faceta de un derecho fundamental susceptible de amparo sobre el que no haya doctrina del Tribunal Constitucional; segundo: que dé ocasión al Tribunal Constitucional para aclarar o cambiar su doctrina, como consecuencia de un cambio en la doctrina de los órganos de garantía encargados de la interpretación de los tratados y acuerdos internacionales a los que se refiere el art. 10.2 CE; y tercero: cuando el asunto suscitado trascienda del caso concreto porque plantee una cuestión jurídica de relevante y general repercusión social o económica o tenga unas consecuencias políticas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demandante solicita la estimación de su solicitud de amparo, el reconocimiento de la vulneración denunciada, la anulación de las decisiones judiciales por las que se acordó y ratificó la desestimación de su pretensión de anulación del laudo arbitral; así como la retroacción de actuaciones a fin de que se dicte otra resolución judicial respetuosa con el contenido del derecho vulnerado.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 de amparo y especial trascendencia constitucional alegada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 que antecede, el presente recurso de amparo cuestiona el contenido de la sentencia núm. 31/2021, de 21 de mayo, dictada por la Sala de lo Civil y Penal del Tribunal Superior de Justicia de Madrid, así como el posterior auto de fecha 9 de septiembre de 2021, que la ratificó al desestimar el incidente de nulidad de actuaciones formulado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en el recurso de amparo se denuncia exclusivamente la vulneración del derecho a la tutela judicial efectiva, constituye su objeto determinar si son fundadas en Derecho las resoluciones judiciales cuestionadas, en la medida en que desestimaron la petición del demandante dirigida a la anulación del laudo arbitral que, como cuestión de orden público, vino fundada en la supuesta ausencia de imparcialidad del árbitro, vinculada al incumplimiento por su parte de la previsión legal que le obliga a revelar todas las circunstancias que puedan dar lugar a dudas justificadas sobre su imparcialidad e independencia (art. 17.2 de la Ley de arbitraje), así como a su actuación durante el proceso de arbitraje y al contenido del laudo que le puso fin.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amparo, en un epígrafe específico dedicado a justificar su especial trascendencia constitucional, los demandantes afirman: (i) que el recurso plantea un problema o una faceta de un derecho fundamental susceptible de amparo sobre el que no hay doctrina de este Tribunal Constitucional; (ii) que su queja da ocasión al Tribunal Constitucional para aclarar o cambiar su doctrina, como consecuencia de un cambio en la de los órganos de garantía encargados de la interpretación de los tratados y acuerdos internacionales a los que se refiere el art. 10.2 CE (alegan específicamente el contenido de la STEDH de 20 de mayo de 2021, asunto Beg S.P.A. c. Italia); y (iii) que por venir referido a las condiciones de ejercicio del arbitraje, el asunto suscitado trasciende del caso concreto porque plantea una cuestión jurídica de relevante y general repercusión social o económica. Concretamente, dicha cuestión sería la siguiente: “si, al renunciar a la jurisdicción y someter su controversia al arbitraje, están renunciando igualmente a la garantía constitucional de que esa controversia sea resuelta por un órgano imparcial”.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especial trascendencia constitucional del recurso como requisito de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tuvo ocasión de recordar en las SSTC 10/2018, de 5 de febrero (FJ 2), y 11/2011, de 28 de febrero (FJ 2), la entrada en vigor de la Ley Orgánica 6/2007, de 24 de mayo, supuso una importante modificación del régimen jurídico del trámite de la admisión del recurso de amparo debido a la inclusión de nuevos requisitos de procedibilidad. Entre ellos, destaca como caracterización más distintiva el enunciado en el artículo 50.1 b) de la Ley Orgánica del Tribunal Constitucional (LOTC), que exige que el contenido del recurso debe justificar una decisión sobre el fondo por parte del Tribunal Constitucional por su especial trascendencia constitucional, la cual se apreciará atendiendo a su importancia para la interpretación de la Constitución, para su aplicación o para su general eficacia, y para la determinación del contenido y alcance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atañe a esta exigencia material, se trata de un requisito que solo corresponde valorar a este tribunal atendiendo a los tres criterios que en el precepto legal se enuncian. Ahora bien, el perfil abierto, tanto de la noción de “la especial trascendencia constitucional”, como de los tres criterios antes reproducidos que la propia ley reguladora ofrece para su caracterización, ha llevado al Tribunal a realizar un esfuerzo de concreción que se inició en la STC 155/2009, de 25 de junio (FJ 2). En ella, sin ánimo exhaustivo, se identificaron determinados criterios adicionales propiciadores de su apreciación. Tal relación, como advertimos entonces, no puede ser entendida “como un elenco definitivamente cerrado de casos en los que un recurso de amparo tiene especial trascendencia constitucional, pues a tal entendimiento se opone, lógicamente, el carácter dinámico del ejercicio de nuestra jurisdicción, en cuyo desempeño no puede descartarse a partir de la casuística que se presente la necesidad de perfilar o depurar conceptos, redefinir supuestos contemplados, añadir otros nuevos o excluir alguno inicialmente incluido”.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reiterado también que la citada reforma ha reforzado la dimensión objetiva del recurso de amparo. De este modo, “la mera lesión de un derecho fundamental o libertad pública tutelable en amparo ya no será por sí sola suficiente para admitir el recurso” (AATC 29/2011, de 17 de marzo, FJ 3; 47/2018, de 25 de abril, FJ 2; y 35/2021, de 24 de marzo, FJ 2). Así, para que este tribunal pueda admitir el recurso de amparo y, en su caso, otorgar la tutela del derecho fundamental que se estima vulnerado, ya no basta (frente a lo que sucedía con anterioridad a la reforma introducida por la Ley Orgánica 6/2007) que se haya producido o sea verosímil la lesión subjetiva del derecho fundamental, sino que la admisión y tutela solo procederá si a esa lesión subjetiva se une el indispensable requisito objetivo de que el problema planteado en el recurso presente una “especial trascendencia constitucional” [art. 50.1 b) LOTC]. De tal manera que, si no concurre ese requisito sustantivo, aunque resulte verosímil la existencia de una lesión subjetiva del derecho fundamental y sea cual sea su gravedad, el Tribunal no viene obligado a admitir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Aplicación al caso de los criterios de admisión expuestos. La alegada novedad de la faceta del derecho fundamental cuya vulneración se aduce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toma en consideración de estos criterios, puestos en relación con los diversos argumentos expuestos por el demandante en favor de la apreciación de especial trascendencia constitucional en el presente recurso, conduce a su inadmisión a trámite por no apreciarla en este supuesto, tal y como se alega, por las razones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Considera el recurrente que, por incurrir en arbitrariedad e irrazonabilidad, la respuesta que las resoluciones judiciales impugnadas han dado al motivo sexto de su solicitud de anulación del laudo arbitral vulnera el contenido de su derecho a la tutela judicial efectiva, en cuanto garantiza el de recibir una respuesta fundada en Derecho (art. 24.1 CE). En dicho motivo de anulación adujo como contrario al orden público el incumplimiento por el árbitro de la previsión legal que le obliga a revelar todas las circunstancias que puedan dar lugar a dudas justificadas sobre su imparcialidad e independencia (art. 17.2 de la Ley de arbitraje).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específica vertiente del derecho fundamental alegado, su contenido y criterios de control constitucional en amparo han sido reiteradamente analizados y establecidos desde sus primeras resoluciones por este tribunal. Como muestra de todas ellas cabe citar, por su ánimo exhaustivo, la STC 214/1999, de 29 de noviembre, FJ 4, y la STC 182/2011, de 21 de noviembre, FJ 3. Hemos establecido en ellas, y en otras muchas que consolidan su doctrina, que “el derecho a la tutela judicial efectiva incluye el derecho a obtener de los órganos judiciales una respuesta razonada, motivada, fundada en Derecho y congruente con las pretensiones oportunamente deducidas por las partes, por cuanto la motivación de las resoluciones judiciales, aparte de venir impuesta en el art. 120.3 CE, es una exigencia derivada del art. 24.1 CE que permite conocer las razones de la decisión que aquellas contienen y que posibilita su control mediante el sistema de los recursos (entre otras muchas, SSTC 163/2000, de 12 de junio, FJ 3; 187/2000, de 10 de julio, FJ 2; y 214/2000, de 18 de septiembre, FJ 4)”. En esa medida, la motivación debe contener una fundamentación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último aspecto hemos señalado que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solo una mera apariencia (SSTC 147/1999, de 4 de agosto, FJ 3; 25/2000, de 31 de enero, FJ 2; 87/2000, de 27 de marzo, FJ 6; 82/2001, de 26 de marzo, FJ 2; 221/2001, de 31 de octubre, FJ 6; 55/2003, de 24 de marzo, FJ 6; 213/2003, de 1 de diciembre, FJ 4)” (STC 182/2011, loc. cit.).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tenor de esta doctrina, corresponde a este tribunal “la comprobación de la relación directa y manifiesta existente entre la norma que el juzgador declara aplicable y el fallo de la resolución, exteriorizada en la argumentación jurídica conducente a este” (SSTC 22/1994, de 27 de enero, FJ 2, y 155/2001, de 2 de julio, FJ 5). La función de este tribunal no consiste en enjuiciar el resultado alcanzado, sino en realizar un control externo del razonamiento lógico seguido para llegar a él. Pues “es a los órganos judiciales a quien corresponde con carácter exclusivo la adopción de las pertinentes resoluciones que sean consecuencia del proceso de selección e interpretación de la norma aplicable, sin más límites que el carácter manifiestamente irrazonable, arbitrario o incluso error patente de la interpretación y aplicación de las normas llevada a cabo por los jueces y tribunales ordinarios (por todas, SSTC 148/1994, de 12 de mayo; 117/1996, de 25 de junio; 58/1997, de 18 de marzo; 68/1998, de 30 de marzo, y 238/1998, de 15 de diciembre, entre otras)” (STC 51/2007, de 12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tenor de dicho contenido y criterios de control constitucional, cabe concluir que el presente recurso no plantea un problema o una faceta nueva del derecho fundamental a la tutela judicial efectiva sobre el que no haya doctrina del Tribunal Constitucional, sino que expone un caso en el que se cuestiona la interpretación y aplicación de las disposiciones legales tomadas en consideración que ha hecho la Sala de lo Civil y Penal del Tribunal Superior de Justicia de Madrid, singularmente del art. 17 de la Ley de arbitraje, en cuanto regula la exigencia de imparcialidad de los árbitros.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contenido del derecho fundamental alegado en la demanda de amparo, dicha cuestión puede ser abordada y resuelta con los criterios que ya han sido establecidos en nuestra doctrina, sin que el recurso de amparo sea un cauce idóneo para corregir eventuales errores cometidos por los órganos judiciales en la interpretación y aplicación de las normas legales. Como hemos expuesto en resoluciones anteriores, no corresponde al Tribunal Constitucional convertirse en un órgano de tercera instancia, de casación o de apelación universal pues, de hacerlo, quedaría desvirtuada la naturaleza propia del proceso constitucional de amparo (SSTC 214/2007, de 8 de octubre, FJ 4; 178/2014, de 3 de noviembre, FJ 3; 38/2018, de 23 de abril; FJ 5; 178/2020, de 14 de diciembre, FJ 3, o 61/2021, de 15 de marzo,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argumentación del recurrente vincula la apreciación de la especial trascendencia constitucional a la relevancia del arbitraje como medio heterónomo de resolución de conflictos señalando que “el presente recurso de amparo permite al Tribunal continuar ahondando en esa protección constitucional del arbitraje de manera que efectivamente aparezca como una institución merecedora de la máxima confianza por las personas físicas y jurídicas que se someten a la misma”. Tal reflexión no permite apreciar que se esté poniendo de manifiesto en este caso una faceta nueva del derecho fundamental a la tutela judicial efectiva alegado, sin perjuicio de que esta afirmación haya de ser tomada en cuenta al analizar —como haremos a continuación— los dos casos de especial trascendencia constitucional en los que, adicionalmente, el recurrente subsume su queja.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doctrina del Tribunal Europeo de Derechos Humanos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demandante que para resolver este recurso de amparo es relevante la reciente STEDH, de 20 de mayo 2021, asunto Beg S.P.A. c. Italia, porque introduce una importante matización a la doctrina expuesta en la STC 9/2005, que declaró que la imparcialidad del árbitro no es una garantía derivada del art. 24 CE; mientras que el Tribunal Europeo de Derechos Humanos  acaba de sostener que sí forma parte del contenido del art. 6 del Convenio europeo de derechos humanos (CEDH). Tal supuesta diferencia de criterio justificaría que este tribunal aclarara o modificara su doctrina sobre la proyección de la garantía de imparcialidad judicial sobre la actuación arbitral.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alegación no puede ser compartida dado que no con coincidentes la faceta del derecho a la tutela judicial efectiva que fundamenta el presente recurso de amparo y el contenido de la doctrina del Tribunal Europeo de Derechos Humanos alegada para justificar su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recurso de amparo denuncia que no es fundada en Derecho la respuesta judicial recibida en cuanto, al desestimar la solicitud de anulación del laudo arbitral por sospechas de parcialidad del árbitro, apreció que el demandante no puso de relieve dudas justificadas que cuestionaran su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literalmente transcrito en los antecedentes de esta resolución, el órgano judicial revisor del arbitraje no cuestionó que los árbitros deban parecer y permanecer imparciales; y tampoco discutió que una quiebra de la imparcialidad del árbitro pueda ser un motivo de orden público procesal que pueda llevar a su anulación. De hecho, analizó y dio respuesta expresa y motivada a dicha causa de anulación. El contenido desestimatorio de su pronunciamiento se apoyó en diversas consideraciones, entre las que es nuclear la de que el motivo de anulación no se hallaba suficientemente justificado por haberse limitado a poner de relieve, una vez dictado el laudo arbitral y sin haber hecho uso previo de la posibilidad de recusación, que existía un vínculo familiar directo entre uno de los letrados de las solicitantes de arbitraje y un letrado que presta sus servicios en el despacho de abogados en el que también se integra el árbitro. A lo expuesto, se añade en la respuesta judicial que la motivación del laudo y la valoración de la prueba que en él se expresa no pueden ser aducidos como indicios de parcialidad, ya que el contenido del laudo y la actuación arbitral han sido analizados por la Sala, que ha desestimado las tachas de parcialidad, arbitrariedad y falta de motivación que se le imputan. Por último, la decisión judicial destaca que la obligación de revelación a que hace referencia el art. 17.2 de la Ley de arbitraje se refiere a las circunstancias que pueden dar lugar a dudas justificadas sobre su imparcialidad, calificación que, en la decisión judicial, se considera que no puede hacerse a la sospecha expuesta por el demandante. En tal medida, la ausencia de revelación de dicha circunstancia no se considera que vulnere el orden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Sin embargo, al fundamentar la especial trascendencia de su pretensión de amparo, la demanda argumenta sobre si el sometimiento a arbitraje supone o no una renuncia inequívoca a la garantía de imparcialidad del árbitro, garantía que viene reconocida en el art. 17 de la Ley de arbitraje y cuya existencia y posibilidad de control judicial no han sido cuestionadas por el órgano judicial en este caso. Se trata —por tanto— de dos objetos de debate diferentes, circunstancia que impide apreciar la especial trascendencia alegada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Tampoco la puesta en relación de la jurisprudencia de este tribunal con la doctrina del Tribunal Europeo de Derechos Humanos alegada sobre el control judicial de la imparcialidad de los árbitros hace preciso aclarar o modificar la doctrina constitucional sobre la materia que viene expuesta en las SSTC 176/1996, de 11 de noviembre, FJ 1; 13/1997, de 27 de enero, FJ 2, y 9/2005, de 17 de enero, FJ 2; recientemente reiterada en las SSTC 46/2020, de 15 de junio; 17/2021, de 15 de febrero, y 65/2021, de 15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admitido en dichos pronunciamientos la posibilidad de controlar en amparo, de forma indirecta, las exigencias de imparcialidad arbitral. En ellos hemos destacado que el laudo arbitral no puede ser objeto directo de impugnación por medio del recurso de amparo por cuanto, como acto no referible a ningún tipo de poder público (art. 41.2 LOTC), resulta extraño al ámbito y función del proceso constitucional de amparo. Su control en amparo es indirecto, pues se lleva a cabo a través del análisis de las decisiones judiciales de formalización del laudo, de las que se pronuncian sobre el recurso o acción de anulación o sobre su ejecución judicial forzosa. Este control indirecto a través del de la intervención jurisdiccional legalmente prevista no impide controlar en amparo la imparcialidad de los árbitros.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Buscando el mayor equilibrio entre la autonomía de voluntad de los particulares y las garantías procesales fundamentales, este tribunal ha delimitado la noción de orden público que puede justificar la anulación judicial de una decisión arbitral. Muy recientemente, en la STC 65/2021, (FJ 3), hemos reiterado que “excepcionalmente cabe anular una decisión arbitral cuando se hayan incumplido las garantías procedimentales fundamentales como el derecho de defensa, igualdad, bilateralidad, contradicción y prueba; cuando el laudo carezca de motivación o esta sea arbitraria, ilógica, absurda o irracional; cuando se hayan infringido normas legales imperativas; o cuando se haya vulnerado la intangibilidad de una resolución firme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una de esas normas imperativas es el art. 17 de la Ley de arbitraje, que reconoce la garantía de imparcialidad arbitral, esta garantía puede ser reivindicada como motivo de orden público cuando no concurra en los árbitros. Y puede también ser invocada en amparo cuando, de forma no fundada en Derecho, no haya sido tomada en consideración por los órganos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apreciamos, por tanto, que la doctrina jurisprudencial del Tribunal Europeo de Derechos Humanos  alegada se oponga a la doctrina constitucional que ha sido expuesta que, por tanto, no precisa cambio ni aclaración por la razón invocada.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análisis de la STEDH de 20 de mayo de 2021, dictada en el asunto Beg S.P.A. c. Italia, permite apreciar que, en el caso allí analizado, ninguna de las partes cuestiona tampoco la aplicabilidad de las garantías del juicio justo al procedimiento de arbitraje (§ 118). La cuestión más delimitada que se aborda en él consiste en determinar si puede apreciarse que haya habido una renuncia implícita al control de la imparcialidad de los árbitros como consecuencia de que el demandante no denunciara que el árbitro no había expresado que no tenía conflictos de intereses con las partes (§ 136). El Tribunal europeo se ha limitado a rechazar la objeción del gobierno italiano que adujo que el demandante había renunciado libre e inequívocamente a las garantías del art. 6 CEDH por no haberse quejado de que los árbitros no hubieran indicado al aceptar el cargo que no tenían conflicto de intereses con las partes (par. 138). Por lo expuesto, su pronunciamiento no es contradictorio con la doctrina de este tribunal, ni incide sobre la respuesta judicial expresada en el caso sometido a nuestra consideración, ni sobre el enjuiciamiento que de ella pudiera hacerse en esta sede.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alegada relevancia jurídica y general repercusión social o económica de la pretensión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las razones que ya hemos expuesto justifican que, en este caso, no apreciemos tampoco que la cuestión planteada presente la relevancia jurídica y general repercusión social o económica que se alega. Siendo una queja que denuncia la arbitrariedad o manifiesta irrazonabilidad de una decisión judicial, sin expresar una faceta nueva del derecho fundamental alegado y sin que pueda afirmarse que pone de relieve una diferencia de criterio aplicable al caso sobre el contenido del control judicial de las decisiones arbitrales, la queja no presenta las características a que se refiere el apartado g) de la STC 155/2009, de 25 de junio. Más allá de los legítimos intereses subjetivos que subyacen y se enfrentan en el litigio entre particulares sometido a decisión arbitral, en su revisión judicial y, en esta sede, en el proceso de amparo, no apreciamos que un pronunciamiento al respecto sea funcional al objetivo de determinar el contenido y alcance de los derechos fundamentales alegados, o para la aplicación o general eficacia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promovido por don Carlos Gutiérrez-Maturana-Larios y Altuna en el presente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enero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Concepción Espejel Jorquera, al auto dictado por la Sección Tercera por el que se inadmite el recurso de amparo núm. 6862-2021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opinión de mis compañeros magistrados y haciendo uso de la facultad establecida en el art. 90.2 de la Ley Orgánica del Tribunal Constitucional (LOTC) vengo a expresar mi criterio discrepante de la decisión de inadmisión del presente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del que discrepo, tras recordar en su fundamento jurídico 2 la consolidada doctrina constitucional acerca de la especial trascendencia constitucional como requisito sustantivo de inexcusable concurrencia para que proceda la admisión de la demanda de amparo (siempre que, además, resulte verosímil la existencia de lesión de un derecho fundamental), doctrina que comparto plenamente, descarta seguidamente en sus siguientes fundamentos jurídicos que el presente recurso de amparo presente especial trascendencia constitucional, lo que conduce a su inadmisión.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mi entender, debería haberse dictado una providencia admitiendo a trámite el recurso de amparo, por no resultar inverosímil prima facie la alegada lesión del derecho a la tutela judicial efectiva (art. 24.1 CE) y revestir el asunto especial trascendencia constitucional, conforme a lo dispuesto en el art. 50.1 b)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presente recurso de amparo trae causa de la impugnación judicial de un laudo arbitral dictado en un arbitraje de equidad que trataba de zanjar el conflicto existente entre el recurrente, don Carlos Gutiérrez-Maturana-Larios y Altuna, y las familiares de este, doña Bárbara Gutiérrez-Maturana Kalachnikoff, y doña Bárbara y doña Christina Gutiérrez-Maturana-Larios Kalachnikoff, que actuaron en el litigio derivado del arbitraje asistidas por los abogados don Bernardo Cremades Sanz-Pastor, don Javier Juliani Aznar y don Ángel Tejada Caller.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 demanda de amparo el recurrente adujo que las resoluciones judiciales impugnadas vulneraron el derecho a la tutela judicial efectiva (art. 24.1 CE), en la medida en que desestimaron de manera irrazonable su petición de anulación del laudo arbitral, fundada, como cuestión de orden público, en la pérdida de imparcialidad del árbitro como consecuencia del incumplimiento por este de la previsión legal que le obliga a revelar todas las circunstancias que puedan dar lugar a dudas justificadas sobre su imparcialidad e independencia (art. 17.2 de la Ley 60/2003, de 23 de diciembre, de arbitraje). La Sala de lo Civil y Penal del Tribunal Superior de Justicia de Madrid rechazó esa pretensión anulatoria por apreciar que el recurrente no puso de relieve dudas justificadas que cuestionaran la imparcialidad del árbitro. A juicio del recurrente esa respuesta judicial no se compadece con el derecho fundamental invocado, en cuanto garantiza el derecho a una respuesta fundada en Derecho, no incursa en arbitrariedad o irrazonabilidad.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aducido por el recurrente es que el citado don Javier Juliani Aznar, que asistió como abogado a la parte contraria en el litigio objeto del procedimiento arbitral del que derivó la impugnación del laudo arbitral, es hermano de don Alfonso Juliani Aznar, que prestaba servicios como abogado en el despacho profesional del árbitro (don Rafael Jiménez de Parga), lugar designado como sede del arbitraje y en el que han tenido lugar las reuniones de las partes y sus abogados. El recurrente afirmaba que tuvo conocimiento de la circunstancia señalada, la relación de estrecho parentesco entre uno de los abogados de la parte contraria y uno de los abogados que prestaba servicios en el despacho profesional del árbitro, después de que este dictase el laudo arbitral. Con fundamento en ese hecho, el recurrente interesó la nulidad del laudo por la existencia de fundadas sospechas sobre la pérdida de imparcialidad del árbitro. Invocó al efecto, como ya se dijo, lo dispuesto en el art. 17 de la Ley 60/2003, de 23 de diciembre, de arbitraje, que establece el deber de imparcialidad del árbitro, a cuyo efecto le impone a este la obligación de revelar todas las circunstancias que puedan poner en duda su imparcialidad.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Planteada así la cuestión, considero que, desde la dimensión subjetiva del recurso de amparo, no se puede descartar, en un análisis preliminar, que la queja del recurrente tenga verosimilitud. El estrecho parentesco existente entre uno de los abogados de la parte contraria al recurrente en amparo (don Javier Juliani Aznar) y uno de los abogados (don Alfonso Juliani Aznar) que prestaba servicios en el despacho profesional del árbitro pudiera haber comprometido la apariencia de imparcialidad de este, por lo que la tacha sobre la falta de imparcialidad que formuló el recurrente en amparo podría no carecer de algún fundamento, y la respuesta judicial para rechazar esta queja se antoja insuficiente desde la perspectiva del derecho fundamental a la tutela judicial efectiva.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relación con la especial transcendencia constitucional declara el auto que el recurso no plantea un problema o una faceta nueva del derecho fundamental sobre el que no haya doctrina del Tribunal Constitucional, que la cuestión puede ser resuelta con los criterios que ya han sido establecidos en nuestra doctrina y que tampoco la puesta en relación de la jurisprudencia de este tribunal con la doctrina sentada por el Tribunal Europeo de Derechos Humanos en su sentencia Beg S.P.A. c. Italia, de 20 de mayo de 2021, que se invoca por el demandante de amparo, hace preciso aclarar o modificar la doctrina constitucional sobre la materia expuesta en las SSTC 176/1996, de 11 de noviembre, FJ 1; 13/1997, de 27 de enero, FJ 2; y 9/2005, de 17 de enero, FJ 2; recientemente reiterada en las SSTC 46/2020, de 15 de junio; 17/2021, de 15 de febrero; y 65/2021, de 15 de marzo. Finalmente, tampoco aprecia que concurra en el caso la alegada relevancia jurídica y general repercusión social o económica a que se refiere el apartado g) de la STC 155/2009, de 25 de junio,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comparto la apreciación de que la cuestión pueda ser resuelta con los criterios recogidos en las resoluciones citadas.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STC 176/1996, de 11 de noviembre, dictada en un supuesto en que se alegó que el laudo arbitral de equidad fue dictado fuera de plazo y sobre cuestiones no sometidas al arbitraje (art. 45.2 y 3 de la vigente Ley de arbitraje), invocando lesión de los derechos a acceder a la tutela judicial y al juez ordinario legalmente predeterminado (respectivamente proclamados en los apartados 1 y 2 del art. 24 C.E.), no abordó el problema de la imparcialidad de los árbitros.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STC 13/1997, de 27 de enero, referida a un caso de laudo arbitral en materia de elecciones sindicales, tampoco analizó el problema de la imparcialidad de los árbitros.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STC 46/2020, de 15 de junio no entra en el examen de la imparcialidad de los árbitros, únicamente alude a que el órgano judicial consideró existente una infracción del orden público en el procedimiento arbitral, por conflicto de intereses entre la corte arbitral y aquellos que asesoraron a los arrendatarios, lo que dio lugar a que de oficio entrara en el fondo de la demanda de nulidad planteada, no atendiendo a la solicitud de las partes en litigio que interesaron de consuno el archivo del procedimiento —con efectos equivalentes al desistimiento por pérdida sobrevenida de interés en continuar con el mismo—, dado que se había alcanzado un acuerdo de satisfacción extrajudicial cuya homologación igualmente se solicitó. El Tribunal Constitucional entendió que la decisión del órgano judicial fue contraria al canon constitucional de razonabilidad de las resoluciones judiciales.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su parte, la STC 17/2021, de 15 de febrero señala que “[l]a acción de anulación, por consiguiente, solo puede tener como objeto el análisis de los posibles errores procesales en que haya podido incurrir el proceso arbitral, referidos al cumplimiento de las garantías fundamentales, como lo son, por ejemplo, el derecho de defensa, igualdad, bilateralidad, contradicción y prueba, o cuando el laudo carezca de motivación, sea incongruente, infrinja normas legales imperativas o vulnere la intangibilidad de una resolución firme anterior.” (FJ 2), pero no aborda directamente el problema de la imparcialidad de los árbitros.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STC 65/2021, de 15 de marzo reitera que excepcionalmente cabe anular una decisión arbitral cuando se hayan incumplido las garantías procedimentales fundamentales como el derecho de defensa, igualdad, bilateralidad, contradicción y prueba; cuando el laudo carezca de motivación o esta sea arbitraria, ilógica, absurda o irracional; cuando se hayan infringido normas legales imperativas; o cuando se haya vulnerado la intangibilidad de una resolución firme anterior; conectando el tema de la imparcialidad con la infracción de normas imperativas, pero estimo que tampoco puede calificarse como precedente constitucional en materia de imparcialidad de los árbitros.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forma que, de los precedentes citados en el auto de inadmisión, únicamente la STC 9/2005, de 17 de enero, se pronuncia sobre el extremo controvertido.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Señala la referida STC 9/2005 que “[d]ebe concluirse, en consecuencia, que solo pueden examinarse aquí las vulneraciones alegadas en la demanda de amparo de diversas garantías del art. 24 CE con respecto a la sentencia de la audiencia provincial impugnada, pero no con respecto al laudo arbitral, que ha de quedar excluido del objeto de este proceso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Indica igualmente la sentencia que “[e]s indudable que quienes someten sus controversias a un arbitraje de equidad tienen un derecho subjetivo a la imparcialidad del árbitro (art. 12.3 de la Ley de arbitraje de 1988 y art. 17 de la Ley 60/2003, de 23 de diciembre, de arbitraje) y a que no se les cause indefensión en la sustanciación de las actuaciones arbitrales (art. 21.1 de la Ley de arbitraje de 1988 y art. 24.1 de la Ley de arbitraje de 2003), derechos que derivan de la misma configuración legal del arbitraje como forma de heterocomposición de los conflictos entre ellos”.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Añade, sin embargo, la sentencia que esos derechos se desenvuelven en el ámbito de la legalidad ordinaria y que se tutelan, en su caso, a través del recurso o acción de anulación que la regulación legal del arbitraje —por medio de motivos de impugnación tasados— concede a quienes consideren que aquellos han sido vulnerados.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Puntualiza seguidamente que, sin embargo, la imparcialidad del árbitro no es una garantía derivada —con el carácter de derecho fundamental— del art. 24 CE, cuyas exigencias solo rigen, en lo que atañe ahora a las concretas alegaciones examinadas en la STC 9/2005, para el proceso —actuaciones jurisdiccionales— en el que se pretende la anulación del laudo y para el órgano judicial que lo resuelve.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Finalmente, concluye que el reproche relativo a la supuesta falta de imparcialidad de uno de los tres miembros del colegio arbitral se dirige de forma directa a dicho colegio, pero no se proyecta, en absoluto, sobre el proceso judicial, ni sobre quienes integraban el órgano judicial que dictó la sentencia impugnada, cuya imparcialidad no se cuestiona. Por eso no puede aceptarse que la sentencia de la Audiencia Provincial haya vulnerado la garantía mencionada del art. 24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posterioridad a la fecha de la mencionada única sentencia del Tribunal Constitucional que trata el tema de la imparcialidad de los árbitros, ha sido dictada recientemente la STEDH de 20 de mayo de 2021, caso Beg S.P.A. contra Italia, que declara en el § 154 la vulneración del art. 6.1 CEDH (derecho a un proceso equitativo, que incluye el derecho a que la causa sea oída equitativa, públicamente y dentro de un plazo razonable, por un tribunal independiente e imparcial, establecido por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el recurrente pone de relieve en su demanda de amparo, el Tribunal Europeo de Derechos Humanos, en la mencionada sentencia Beg S.P.A. c. Italia, de 20 de mayo de 2021 (en particular § 135 a 154), ha sentado una doctrina conforme a la cual entiende aplicable las garantías del art. 6 del Convenio Europeo de Derechos Humanos a la exigencia de independencia e imparcialidad de los árbitros.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la mencionada STEDH el citado Tribunal no se limita a un mero control externo de la motivación de las resoluciones judiciales que resuelven sobre la imparcialidad de los árbitros, sino que entra a comprobar directamente si en el caso se ha vulnerado la citada garantía del art. 6.1 CEDH y da relevancia a la apariencia de imparcialidad de los árbitros.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comparto la conclusión de que el referido pronunciamiento del Tribunal Europeo de Derechos Humanos, posterior a nuestra sentencia 9/2005, de 17 de enero, no justifique que este tribunal, a la vista de esta, pueda aclarar o matizar la doctrina recogida en la referida STC 9/2005.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Aunque de la STC 9/2005 podría deducirse, como se sostiene en el auto del que discrepo, que el Tribunal Constitucional ha entendido que las garantías del art. 6 del Convenio Europeo de Derechos Humanos no son enteramente coextensas con las del art. 24 CE, en lo que atañe al arbitraje, considero que en el mismo no se efectúa un análisis pormenorizado de la citada STEDH Beg S.P.A. c. Italia de 20 de mayo de 2021, para rechazar el diálogo entre tribunales sobre una cuestión jurídica que me parece de innegable relevancia: en qué medida las garantías del juicio justo son aplicables al procedimiento arbitral, en particular en lo que atañe a la imparcialidad del árbitro, y qué consecuencias pueden derivarse en cuanto a la validez del laudo de una pérdida de imparcialidad del árbitro que lo dictó.</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Considero que al inadmitir el presente recurso de amparo el Tribunal Constitucional ha perdido una excelente ocasión de entablar ese diálogo y que, tras un examen minucioso de la STEDH, debió decidirse en sentencia si procede, en su caso, perfilar o matizar la doctrina sentada en la citada STC 9/2005, de 17 de enero.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consecuencia, estimo que el presente recurso de amparo debió de ser admitido, pues reviste especial trascendencia constitucional al dar ocasión al Tribunal para aclarar o cambiar su doctrina, como consecuencia de un proceso de reflexión interna, en atención a la doctrina sentada por el Tribunal Europeo de Derechos Humanos en relación con la exigencia de independencia e imparcialidad de los árbitros [STC 155/2009, de 25 de junio, FJ 2, supuesto b)], lo que justificaba una decisión sobre el fondo por parte del Tribunal Constitucional, atendida su importancia para la determinación del contenido y alcance del derecho fundamental a la tutela judicial efectiva.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tal sentido, discrepo respetuosamente del auto de inadmisión respecto del que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cuatro de enero de dos mil veintitrés.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