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don Ricardo Enríquez Sancho, doña Concepción Espejel Jorquera, doña María Luisa Segoviano Astaburuaga y don Juan Carlos Campo Moreno.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6520-2021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6520-2021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del procedimiento de ejecución hipotecaria núm. 1819-2018 del Juzgado de Primera Instancia núm. 8 de Almería.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núm. 3 de Almería, en relación con las seis fincas registrales a las que se refieren las presentes actuaciones, a cuyo efecto el juzgado ejecutor ha de expedir el mandamiento oportuno para que pueda practicarse dicha anotación.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Denegar cualquier otra medida de publicidad de la demanda de amparo, distinta a la indicada en el apartado segundo.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octubre de 2021 tuvo entrada en el registro general de este Tribunal Constitucional un escrito de la procuradora de los tribunales doña Carmen Palomares Quesada, actuando en representación de la entidad Inmobiliaria Alquimar, S.A., y bajo la defensa del abogado don Miguel Peralta López, por el que interpuso recurso de amparo contra el auto del Juzgado de Primera Instancia núm. 8 de Almería, de 21 de julio de 2021, que acordó no haber lugar a decretar la nulidad de las actuaciones interesada por la aquí recurrente respecto del procedimiento de ejecución hipotecaria núm. 1819-2018 tramitado ante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representante procesal de la entidad Sociedad de Gestión de Activos Procedentes de la Reestructuración Bancaria, S.A., (SAREB) interpuso demanda ejecutiva ante los juzgados de primera instancia de Almería contra la entidad aquí demandante de amparo, para exigir el pago de deudas garantizadas con hipoteca respecto de seis viviendas unifamiliares situadas en Huércal de Almería; señalándose como domicilio para la práctica de las notificaciones el mencionado en la escritura pública de préstamo, sito en avenida de la Constitución, s/n de San Isidro, Níjar.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de Primera Instancia núm. 8 de Almería dictó auto el 2 de enero de 2019 (aclarado por auto de 14 del mismo mes, en cuanto a la partida de intereses) despachando la ejecución solicitada por la cantidad total de 1 039 788,89 €, acordando a tal efecto expedir mandamiento al Registro de la Propiedad de Almería en relación con las seis fincas cuyo número registral se acompaña. Se indica también en el auto de 2 de enero de 2019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solicitado, hágase entrega al procurador ejecutante de las copias de demandas y documentos a fin de que proceda al requerimiento y traslado al ejecutado, y notificación a los fiadores, conforme a lo establecido en el art. 152 en relación con el art. 26.8 y 9 de la LEC, quedando las actuaciones en la secretaría a su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parte ejecutante comunicó al juzgado a quo que el único intento de emplazamiento efectuado por el procurador de dicha parte, en el domicilio de la entidad ejecutada designado en la escritura de préstamo, había resultado fallido, a cuyo efecto solicitó se le notificara a esta última por medio de edictos. A esta petición se accedió por diligencia de ordenación del letrado de la administración de justicia de dicho juzgado, de 8 de noviembre de 2019, “de conformidad con lo establecido en los artículos 156.4, 164 y 157.1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la representación procesal de la entidad demandante de amparo se presentó escrito fechado el 2 de julio de 2021 ante el Juzgado de Primera Instancia núm. 8 de Almería, solicitando que se decretara la nulidad de actuaciones del procedimiento de ejecución hipotecaria núm. 1819-2018 de dicho juzgado, y la retroacción de actuaciones al momento inmediato posterior a la notificación del despacho de ejecución, alegando indefensión (lesión del art. 24.1 CE), por no haber agotado dicho órgano judicial todas las gestiones posibles para el emplazamiento personal de la mercantil, limitándose a acordar un único intento de emplazamiento a cargo del procurador de la parte ejecutante en el domicilio designado en la escritura del contrato de préstamo, de modo que al resultar fallido ese intento se pasó ya a la notificación por edictos. En apoyo a su pretensión hizo cita de la STC 200/2016, de 28 de noviembre, que a su vez se remite a la STC 122/2013, de 20 de mayo, en relación con los procesos ejecutivos hipotecarios y la interpretación que debía darse al art. 686.3 LEC, en la dicción dada a este precepto por la Ley 13/2009, de 3 de noviembre, de reforma de la legislación procesal para la implantación de la nueva oficina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a quo dictó auto el 21 de julio de 2021 acordando no haber lugar a lo solicitado, razonando al efecto en el fundamento de Derecho único, tras la cita del art. 225.3 de la Ley de enjuiciamiento civil (LEC),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ha producido la nulidad de actuaciones pretendida por la entidad demandada, debiendo recordarse al efecto el contenido del artículo 686 de la Ley de enjuiciamiento civil: ‘1. En el auto por el que se autorice y despache la ejecución se mandará requerir de pago al deudor y, en su caso, al hipotecante no deudor o al tercer poseedor contra quienes se hubiere dirigido la demanda, en el domicilio que resulte vigente en el registro. […] 3. Intentado sin efecto el requerimiento en el domicilio que resulte del Registro, no pudiendo ser realizado el mismo con las personas [a las] que se refiere el apartado anterior, […] se procederá a ordenar la publicación de edictos en la forma prevista en el artículo 164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parte demandada fijó su domicilio a efectos de requerimientos y notificaciones, y no habiendo cambiado el mismo de acuerdo con las reglas contenidas en el artículo 683 de la Ley de enjuiciamiento civil, tras haberse intentado sin éxito requerir de pago en el domicilio designado, el requerimiento de pago realizado a través de edictos es ajustado a la Ley. En todo caso, a fin de evitar cualquier tipo de indefensión, el juzgado realizó la correspondiente averiguación domiciliaria, la cual fue negativa, por lo que se acordó el requerimiento edictal que es totalmente ajustado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por tanto a declarar la nulidad de lo actuado, sin hacer expresa imposición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Notificada esta resolución, por la parte ejecutada se interpone el presente recurso de amparo con fecha 14 de octubre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a la tutela judicial efectiva y a no padecer indefensión (art. 24.1 CE), al haberse acudido de manera indebida a la vía del emplazamiento por edictos, siendo posible el emplazamiento personal de la entidad recurrente, con la consecuencia de haberse tramitado el procedimiento de ejecución hipotecario instado en su contra ignorando su existencia, incluyendo la convocatoria de subasta y habiendo precluido la posibilidad de interponer incidente de oposición a la ejecución. En ese momento, prosigue diciendo, la causa se encontraba en el trámite de pedir a los ocupantes de los inmuebles objeto de ejecución que acreditaran el título justificativo de su posesión, siendo estos últimos inquilinos de la mercantil recurrente, quienes de esta manera le informaron de lo que sucedía.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Sigue relatando la demanda que personada la recurrente en el procedimiento y revisadas las actuaciones, interpusieron escrito de nulidad de actuaciones en el sentido ya indicado, el cual sin embargo resultó rechazado por el auto de 21 de julio de 2021 que se impugna en este amparo. La demanda alega además doctrina de este tribunal sobre el deber del órgano judicial de agotar las gestiones para la localización de la parte ejecutada en los procesos hipotecarios, con cita de la STC 200/2016, y cuestiona también “la falta de supervisión de los actos de notificación realizados por la SAREB”, cuyo procurador se encargó del intento de emplazamiento en el domicilio designado en el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suplico de la demanda solicita que se dicte sentencia declarando la nulidad del auto recurrido, y que “se retrotraigan las actuaciones al momento anterior a la notificación de la demanda ejecutiva y del despacho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alega: “Que es obligado por esta parte solicitar la suspensión del procedimiento del que procede este recurso, al suponer la realización mediante subasta de los bienes un perjuicio de difícil reparación conforme a lo reglado en el artículo 56.2 de la Ley Orgánica del Tribunal Constitucional”, por lo que suplica a este tribunal “sírvase a declarar la suspensión del procedimiento del que dimana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17 de enero de 2022 la representación procesal de la entidad recurrente presentó un nuevo escrito manifestando que el 14 de enero de 2022 se había publicado en el “Boletín Oficial del Estado” el anuncio de subasta de los bienes objeto de la ejecución, lo que “supone perjuicio inminente e irreparable para mi representado, con la imposibilidad de recuperar los bienes si se produce la adjudicación a un tercero de buena fe”, por lo que vino a solicitar “de forma urgente que el Tribunal se pronuncie sobre la suspensión del procedimiento de ejecución conforme se solicitaba”.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Sección Primera, de este tribunal, dictó providencia el 14 de noviembre de 2022,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ha examinado el recurso de amparo y ha acordado admitirlo a trámite, apreciando que concurre en el mismo una especial trascendencia constitucional (art. 50.1 LOTC) porque el recurso puede dar ocasión al Tribunal para aclarar o cambiar su doctrina, como consecuencia de un proceso de reflexión interna [STC 155/2009, FJ 2 b)] y porque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núm. 8 de Almería a fin de que, en plazo que no exceda de diez días, remita certificación o fotocopia adverada de las actuaciones correspondiente al procedimiento de ejecución hipotecaria 1819/2018;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Primera de este tribunal en la misma fecha, 14 de noviembre de 2022, se dispuso “formar con el precedente testimonio la presente pieza separada de suspensión y, de conformidad con lo prevenido en el art. 56 de la Ley Orgánica del Tribunal Constitucional, conceder un plazo común de tres días, al Ministerio Fiscal y a la solicitante del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17 de noviembre de 2022 se presentó escrito de alegaciones en esta pieza por la representante procesal de la entidad recurrente, interesando se tuvieran por formuladas dichas alegaciones, con “suspensión inmediata del procedimiento de ejecución hipotecaria 1819-2018”.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alegación única se afirma que “existe un inminente riesgo en el caso de no suspender el procedimiento tanto para esta parte, como para aquellos que han sido parte en la subasta realizada pendiente de remate de los bienes inmuebles que son garantía de la hipoteca ejecutada”. A continuación menciona datos del procedimiento de ejecución ya indicado, en el que se refiere al remate de los lotes 2 y 4, sin especificar a qué bienes concierne cada uno. Añade que: “Existe por tanto un riesgo inminente de daño irreparable para mi mandante, el cual perdería opción a recuperar los lotes antes mencionados. Por lo que entra dentro de la proporcionalidad la suspensión inmediata de los remates pendientes, así como de cualquier emisión de cualquier tipo de mandamiento al registro de la propiedad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diciendo la demandante en su fundamentación: “Consideramos que en todo caso, y aun cuando no se apruebe la suspensión del procedimiento de ejecución, otra medida aceptable sería la notificación fehaciente a los terceros de la existencia del procedimiento de amparo, informando de los efectos que esta podría tener en su concurrencia a los bienes subastados y de tal forma que se pueda enervar la presunción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fiscal ante este Tribunal Constitucional formalizó su escrito de alegaciones en esta pieza el 2 de diciembre de 2022, concluyendo en el mismo que no procede acordar la suspensión de la ejecución solicitada, si bien “para evitar el perjuicio derivado de la adquisición de los bienes por terceros de buena fe, que los hicieran irreivindicables, procede acordar la anotación preventiva de la demanda en el registro de la propiedad”. Añade que: “En relación con la solicitud efectuada para que se notifique la existencia de la demanda en los términos interesados por la demandante de amparo, el Ministerio Fiscal considera que procede, a tenor de lo previsto en el art. 56.3 LOTC, siempre que el estado de las actuaciones lo permita para no perjudicar los derechos de los terceros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respaldo de lo que solicita en su escrito, la fiscal hace cita del art. 56.2 de la Ley Orgánica del Tribunal Constitucional (LOTC) y de la doctrina general de este Tribunal Constitucional sobre la posibilidad de suspensión de las resoluciones judiciales impugnadas en amparo durante la tramitación de dicho proceso, incluyendo la regla general de no suspensión cuando se trata de perjuicios de contenido patrimonial o económico salvo que se produjeran perjuicios patrimoniales difícilmente reparables, con cita del ATC 103/2021, FJ 3; así como también la doctrina que asigna la carga procesal a la parte recurrente de acreditar tales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esto, pasa a referirse al caso concreto planteado. Respecto de la solicitud de suspensión, considera que la parte se limita a citar el art. 56 LOTC, “sin alegar ni acreditar, ni siquiera de modo somero, en qué medida la continuación del procedimiento le puede suponer un perjuicio de imposible reparación, de modo que se ha incumplido la carga que le corresponde de precisar en qué medida la ejecución del acto le cause perjuicios no susceptibles de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diciendo la fiscal que se ha decretado la celebración de subasta de los bienes ejecutados, lo que “si bien puede conllevar la transmisión del dominio del bien ejecutado, en supuestos semejantes, ha sido resuelta por el Tribunal Constitucional adoptando la medida cautelar de anotación preventiva de la demanda de amparo en el registro de la propiedad. De este modo, y ante la eventual estimación de la demanda de amparo que pudiera dar lugar a la nulidad de lo actuado en relación con la realización del embargo sobre las fincas de la demandante de amparo, la anotación preventiva de aquella evitaría el perjuicio derivado de una posible adquisición del bien de modo irreivindicable por un tercero de buena 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ejemplo, cita la fiscal el ATC 109/2022, de 11 de julio, FJ 3, dictado en el recurso de amparo núm. 2973-2021 interpuesto por la misma entidad aquí recurrente, donde el Tribunal denegó la suspensión, pero accedió a la medida de anotación preventiva de la demanda. Y tras sintetizar el escrito presentado en esta pieza por la recurrente, finaliza sus consideraciones solicitando la denegación de la suspensión del auto impugnado; la anotación preventiva de la demanda de amparo, y la notificación de este proceso “en los términos interesados por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posterioridad a haberse acordado la apertura de esta pieza separada de suspensión, se presentaron escritos de personación en el presente recurso de amparo en representación de la parte ejecutante del proceso a quo, SAREB, en fechas 12 de diciembre de 2022, suscrito por la procuradora de los tribunales doña Paula Bonafuente Escalada, y 13 de diciembre de 2022, suscrito por el procurador de los tribunales don Mauricio Gordillo Alcalá, dualidad que trajo consigo que se dictara el 15 de diciembre de 2022 una diligencia de ordenación por la Secretaría de Justicia de la Sección Primera, requiriendo a ambos profesionales para que en el plazo de cinco días “aclaren cuál de ellos asumirá la representación de dicha entidad, bajo apercibimiento de que de no verificarlo en el plazo indicado, se tendrá por personado y parte a la representación que hubiere presentado el escrito con anterioridad”.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23 de diciembre de 2022 el procurador don Mauricio Gordillo Alcalá presentó escrito manifestando “ostentar la representación procesal en el procedimiento al que me dirijo, acompañándose de copia de escritura de poder conferida a mi favor e interesando se tenga por evacuado requerimiento y su unión a los autos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Secretaría de Justicia de la Sección Primera dictó diligencia de ordenación el 3 de enero de 2023, teniendo al citado procurador por personado en nombre y representación de la Sociedad de Gestión de Activos Procedentes de la Reestructuración Bancaria, S.A., (SAREB); y mediante otra diligencia de ordenación de la misma fecha acordó conceder un plazo de tres días a dicha entidad para formular alegaciones “en relación con la petición de suspensión interesada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11 de enero de 2023, la representación procesal de la entidad personada, actuando bajo la defensa de la abogada doña María Mercedes Ruiz-Rico Vera, presentó escrito oponiéndose a la solicitud de suspensión interesada. Se pide en primer término la inadmisión del recurso de amparo interpuesto, al entender que la demanda presentada no acredita el requisito de la especial trascendencia constitucional del art. 50.1 b) LOTC, pues los dos motivos esgrimidos (necesidad de aclaración o cambio de la doctrina del Tribunal, y negativa manifiesta del órgano judicial a acatar doctrina del Tribunal) “no son ciertos” dado que el órgano judicial a quo “ha cumplido escrupulosamente cada uno de los deberes procesales que ha de atender a lo largo de todo el procedimiento hipotecario y, más aún, al tiempo de realizar cualquier acto de comunicación a las partes de aquella litis”, tal y como dejó expresado en su auto de 21 de julio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además el escrito de la entidad personada que concurran los requisitos del art. 56 LOTC para acordar la suspensión del procedimiento de ejecución hipotecaria, pues “no se acredita el perjuicio irreparable a los ejecutados”; además, la suspensión de los procesos es excepcional y en concreto por lo que respecta a los procesos de ejecución la suspensión solo opera por las causas tasadas del art. 565 de la Ley de enjuiciamiento civil (LEC) o por un acuerdo entre las partes conforme a su art. 562.5, pero esta ley no prevé la posibilidad de suspensión de la ejecución por la sola interposición de un recurso de amparo; tampoco si se entabla un proceso declarativo (art. 564) para discutir sobre temas distintos a las causas de oposición a la ejecución. Muestra de este carácter restrictivo son los AATC 66/2021, de 21 de junio; 11/2022, de 24 de enero, y 135/2022, de 24 de octubre, y que desestimaron la medida de suspensión solicitada y cuya fundamentación reproduce en parte; así como los AATC 98/2019, de 16 de septiembre; 135/2020, de 14 de noviembre, y 171/2022, de 28 de noviembre, que simplemente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insistiendo en que la demanda de amparo “no ha logrado acreditar ningún perjuicio real en el procedimiento que haga necesaria su suspensión —y aun cuando realmente existiese, nuestro ordenamiento jurídico pone a disposición del demandante otros instrumentos cuya adopción no resulta tan excepcional como la suspensión solicitada; alternativas que, al no haber sido instadas de adverso, no han de tener cabida en estos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Secretaría de Justicia de la Sección Segunda de este tribunal, dictó diligencia el 18 de enero de 2023 “para hacer constar que en el día de la fecha se recibe en esta Sección Segunda de la Sala Primera el presente recurso de amparo en virtud de acuerdo del Pleno de 17 de enero de 2023 por el que se establece la nueva composición de las salas y secciones, así como los criterios de reparto de las ponencias”.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solicita la suspensión cautelar de la resolución impugnada en amparo y, con ello, del procedimiento de ejecución hipotecaria seguido en su contra, aduciendo que la realización de los inmuebles de su propiedad en subasta y su adquisición por un tercero de buena fe le causaría un perjuicio irreparable o de difícil reparación, conforme a lo previsto en el art. 56.2 de nuestra Ley Orgánica reguladora; solicitando de manera subsidiaria un mandamiento (que la recurrente no concreta) al registro de la propiedad o la notificación fehaciente a terceros de la existencia del procedimiento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ante este tribunal, por su parte, ha interesado que se deniegue la petición de suspensión y en cambio se acuerde la medida de anotación preventiva de la demanda de amparo, así como en su caso la notificación fehaciente a terceros a la que alude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entidad SAREB, a la que se ha dado trámite de audiencia en esta pieza incidental al hallarse ya personada en el recurso, se ha opuesto también a la petición de suspensión del procedimiento ejecutivo, y ha alegado asimismo la inadmisión del presente recurso de amparo. Procede aclarar desde ya que no cabe entrar a dar respuesta a esta última alegación porque resulta ajeno al ámbito de este incidente cautelar el control de los requisitos del proceso principal de amparo, como son los relativos a la especial trascendencia constitucional y el de la inexistencia de la lesión denunciada en la demanda, que es lo que materialmente alega el escrito en este punto, pudiendo en todo caso efectuar las alegaciones que tenga por conveniente al respecto en el trámite del art. 52 LOTC, dentro del proceso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señala la fiscal en su escrito de alegaciones de esta pieza incidental, las pretensiones de la entidad recurrente presentan similitud con las planteadas por esta misma en el recurso de amparo núm. 2973-2021, y que fueron resueltas por el ATC 109/2022, de 11 de julio, el cual por ello mismo resulta aquí de aplicación. Señalamos en el FJ 2 de ese auto cuál es el tenor del art. 56.2 LOTC, que regula el régimen de suspensión en amparo de las resoluciones impugnadas, e hicimos un resumen de nuestra doctrina sobre la posibilidad de su otorgamiento, en particular en los casos de embargo y posible adjudicación de bienes a terceros de buena fe. Declaramos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importa precisar que esta doctrina referida al desalojo de viviendas no es aplicable en todo caso en el que el bien inmueble objeto de ejecución sea de esta especie, sino que para poder hablar de un daño irreparable apto para acordar la suspensión cautelar del procedimiento ex art. 56.2 LOTC, ha de tratarse de viviendas cuyo desalojo dejaría a la parte recurrente en amparo, o a esta y a su familia, quienes la venían ocupando, en una situación de perjuicio difícilmente reparable que haría perder su finalidad al recurso de amparo interpuesto: últimamente, ATC 119/2022, de 26 de septiembre, FFJJ 2 (de invocación de la doctrina) y 3 (de aplicación al caso planteado), donde por tales circunstancias familiares se acordó la suspensión del procedimiento de ejecución hipotecaria en favor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doctrina citada conduce a denegar la solicitud de suspensión del procedimiento de ejecución hipotecaria núm. 1819-2018 al que se refiere la entidad recurrente, al no haber acreditado mínimamente la existencia de un perjuicio irreparable o de difícil reparación por el mero hecho de la tramitación de dichas actuaciones. La recurrente es una sociedad propietaria de una serie de bienes inmuebles, que según reconoce explota en régimen de arrendamiento, y ni en el otrosí digo de su demanda, ni en el escrito de alegaciones formalizado en esta pieza incidental, es capaz de concretar en qué términos se produciría tal daño irreparable. Únicamente advierte de la posibilidad de una transmisión a tercero de buena fe de dichos inmuebles (los que conforman los lotes 2 y 4), situación eventual que, como se indicará, ofrece suficiente protección a través de la medida de anotación preventiva de la demanda, instada expresamente por la fiscal ante este tribunal en su escrito de alegaciones y en términos menos claros en el escrito de la recurrente (“entra dentro de la proporcionalidad […] cualquier emisión de cualquier tipo de mandamiento al registro de la propiedad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por lo que hace a la medida de anotación preventiva de la demanda, de tal guisa acordada en el ya citado ATC 109/2022 —al tiempo que se denegó la suspensión de aquel otro procedimiento ejecutivo—, promovido como se ha dicho por la misma entidad aquí recurrente, dice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una hipotética adquisición del bien por tercero lo hiciera irreivindicable; situación a la que se hace referencia genérica en el escrito de alegaciones presentado en esta pieza. Esta misma ha sido la solución acogida,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Procede por tanto denegar la suspensión del procedimiento ejecutivo ya mencionado, y acceder en cambio a la anotación preventiva de la demanda de este amparo, con remisión al registro de la propiedad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dicha anotación preventiva suficiente para evitar la adquisición de los bienes objeto de ejecución por terceros de buena fe, no procede acordar ninguna otra medida de publicidad de la demanda de amparo, tal como la de “notificación fehaciente a los terceros de la existencia del procedimiento de amparo” que plantea la recurrente como una medida distinta a la de mandamiento al registro de la propiedad, y que apoya el escrito de la fiscal, sin especificar por lo demás su alcance y medios de difusión.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del procedimiento de ejecución hipotecaria núm. 1819-2018 del Juzgado de Primera Instancia núm. 8 de Almería.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núm. 3 de Almería, en relación con las seis fincas registrales a las que se refieren las presentes actuaciones, a cuyo efecto el juzgado ejecutor ha de expedir el mandamiento oportuno para que pueda practicarse dicha anotación.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Denegar cualquier otra medida de publicidad de la demanda de amparo, distinta a la indicada en el apartado segundo.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