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1903-2001,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2001 fue registrado en este Tribunal oficio de fecha 23 de marzo de 2001, remitido por la Sala de lo Contencioso-Administrativo (Sección Segunda) del Tribunal Superior de Justicia del País Vasco, al que se adjuntaba, entre otros testimonios, el del Auto del mismo órgano judicial, de 27 de febrero de 2001,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1903- 2001, deriva del recurso contencioso-administrativo interpuesto por el Convento de la Obra Máxima contra la Resolución del Alcalde-Presidente del Ayuntamiento de San Sebastián de 20 de mayo de 1997, por la que se concede licencia para la realización de obras de reforma y levante de edificio en la calle Pedro Egaña, núm. 7, y se impone el pago de 5.263.825 pesetas en concepto de cesión del aprovechamiento excedentario con respecto al susceptible de apropiación privada [condición 18 bis) de la citada Resolución]. En la demanda formulada en aquel proceso contencioso-administrativo la parte recurrente había alegado que no procedería la mencionada cesión del 15 por 100 del aprovechamiento urbanístico, entre otros motivos, porque los preceptos que la imponían en el texto refundido de la Ley sobre el régimen del suelo y ordenación urbana, aprobado por Real Decreto Legislativo 1/1992, de 26 de junio (LS de 1992), habían sido declarado inconstitucionales por la STC 61/1997, de 20 de marzo.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31 de octubre de 2000,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a) de la Ley vasca 17/1994 es la norma aplicable al caso sobre el que debe resolverse. La licencia fue solicitada bajo la vigencia de dicho precepto y, aunque fue otorgada cuando ya había entrado en vigor la Ley del Parlamento Vasco 3/1997, de 25 de abril, por la que se determina la participación de la comunidad en las plusvalías generadas por la acción urbanística, quedaría descartada la aplicación de esta Ley, dado que la licencia fue otorgada transcurrido el plazo de tres meses establecido para su concesión. Por otra parte, tampoco podría aplicarse el art. 27 LS de 1992, que había sido declarado inconstitucional por la STC 61/1997.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2001 la Sección Cuarta de este Tribunal acordó admitir a trámite la presente cuestión de inconstitucionalidad en relación con el art. 11 a) de la Ley vasca 17/1994;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 de julio de 2001.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sobre régimen del suelo y valoraciones,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julio de 2001 la Presidenta del Senado comunicaba que la Mesa de la Cámara había acordado solicitar que se tuviera a ésta por personada en este proceso y ofrecer su colaboración a los efectos de lo dispuesto en el art. 88.1 LOTC. Por su parte, por escrito que tuvo entrada en este Tribunal el 16 de julio de 2001, la Presidenta del Congreso de los Diputados comunicaba que el Congreso no se personaría en este proceso constitucional, ni formularía alegaciones, si bien se ponían a disposición del mismo las actuaciones de la Cámara que pudieran requerirse de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12 de julio de 2001. En él se destaca que penden ante este Tribunal las cuestiones de inconstitucionalidad núm. 4104/99, 4105/99 y 5042/99, planteadas por el mismo órgano judicial con respecto a idéntico precepto legal, por lo que solicita el Fiscal que se acumule esta cuestión a las anteriores, se tengan por reproducidas sus alegaciones en las mismas y se dicte sentencia desestimatoria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presentó su escrito de alegaciones el 13 de julio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los Servicios Jurídico-Centrales de la Administración de la Comunidad Autónoma del País Vasco presentó su escrito de alegaciones el 19 de julio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señaló para votación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parte dispositiva del Auto de la Sección Segunda de la Sala de lo Contencioso- Administrativo del Tribunal Superior de Justicia del País Vasco de 27 de febrero de 2001, por el que se decide promover la presente cuestión de inconstitucionalidad, la plantea expresamente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De la fundamentación del mencionado Auto se deduce, sin embargo, con claridad que la duda de constitucionalidad se refiere sólo a la regulación de la letra a) del art. 11 de la Ley vasca 17/1994 (aprovechamiento patrimonializable por propietarios incluidos en unidad de ejecución en los denominados municipios de “aplicación íntegra” de la Ley del suelo de 1992), única regulación del precepto que el órgano judicial considera aplicable al caso sobre el que debe resolver. En consonancia con ello, la providencia de la Sección Cuarta de este Tribunal de 19 de junio de 2001 acordó admitir a trámite la cuestión planteada “en relación con el art. 11 a) de la Ley 17/1994”.</w:t>
      </w:r>
    </w:p>
    <w:p w:rsidRPr="00C21FFE" w:rsidR="00F31FAF" w:rsidRDefault="00356547">
      <w:pPr>
        <w:rPr/>
      </w:pPr>
      <w:r w:rsidRPr="&lt;w:rPr xmlns:w=&quot;http://schemas.openxmlformats.org/wordprocessingml/2006/main&quot;&gt;&lt;w:lang w:val=&quot;es-ES_tradnl&quot; /&gt;&lt;/w:rPr&gt;">
        <w:rPr/>
        <w:t xml:space="preserve">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(aunque referida a la totalidad del art. 11 de la Ley vasca 17/1994), ha sido ya resuelta con un pronunciamiento desestimatorio por este Tribunal en la reciente STC 178/2004, de 21 de octubre. Cuando el precepto cuestionado fue dictado, “la legislación urbanística autonómica [estaba] vinculada sólo por las condiciones básicas que, de conformidad con la Constitución, había establecido el Estado en el LS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w:t>
      </w:r>
    </w:p>
    <w:p w:rsidRPr="00C21FFE" w:rsidR="00F31FAF" w:rsidRDefault="00356547">
      <w:pPr>
        <w:rPr/>
      </w:pPr>
      <w:r w:rsidRPr="&lt;w:rPr xmlns:w=&quot;http://schemas.openxmlformats.org/wordprocessingml/2006/main&quot;&gt;&lt;w:lang w:val=&quot;es-ES_tradnl&quot; /&gt;&lt;/w:rPr&gt;">
        <w:rPr/>
        <w:t xml:space="preserve">En lo demás, hemos de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1903-2001.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respecto de la Sentencia del Pleno de 18 de noviembre de 2004, dictada en la cuestión de inconstitucionalidad núm. 1903-2001, al que se adhiere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