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2182-2003, avocado al Pleno, y promovido por el Letrado don Luis Miguel Pérez Espadas, en interés de doña Nwal Zaitouni, a la que por el turno de justicia gratuita se le designó el Procurador de los Tribunales don Joaquín Pérez de Rada González de Castejón, contra el Auto de 26 de marzo de 2003 del Juzgado de Instrucción núm. 1 de los de Puerto del Rosario, por el que se inadmite a trámite la solicitud de habeas corpus presentada por el primero. Ha intervenido el Ministerio Fiscal. Ha sido Ponente el Magistrado don Javier Delgado Barrio,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abril de 2003 el Letrado don Luis Miguel Pérez Espadas, manifestando defender de oficio a doña Nwal Zaitouni, interpuso recurso de amparo contra la resolución del Juzgado de Instrucción núm. 1 de los de Puerto del Rosario citada más arriba. En su escrito solicitaba el Letrado que se oficiara al Colegio de Procuradores de Madrid a efectos de que nombrase a uno de sus colegiados para representar a la demandante y se indicaba que si la afectada no había solicitado personalmente el amparo del Tribunal se debía a que se desconoce su paradero.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Letrado afirma en su demanda que la Sra. Zaitouni fue detenida el 24 de marzo de 2003, por agentes de la policía de la comisaría de Puerto del Rosario, cuando trataba de acceder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25 de marzo de 2003, por medio de escrito firmado por la interesada y su Abogado,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pasajera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tal detención. Por todo ello, solicitaba que, tras examinar la concurrencia de los requisitos necesarios para su tramitación, se diera traslado al Ministerio Fiscal, acordando seguidamente la incoación del procedimiento, y se ordenara a los agentes que la custodiaban que la pusieran de manifiesto ante el Juez para ser oída, o que personándose el Juez en el lugar en que se encontraba, les oyera a ella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26 de marzo de 2003, que inadmitía a trámite la solicitud de habeas corpus presentada. El fundamento jurídico único de la resolución tenía el siguiente contenido: “Señala el art. 1 de la Ley Orgánica 6/84 que mediante el procedimiento de habeas corpus se podrá obtener la inmediata puesta a disposición de la Autoridad Judicial de la persona ilegalmente detenida, por tanto su finalidad no es otra, como su propia etimología indica, que la de ser oído por el Juez acerca de las circunstancias de su detención, y en su consecuencia cuando ya se ha prestado tal audiencia, en este caso la prevenida en la Ley de extranjería, resulta absurda y contraria a derecho la actual solicitud, por lo que no se admite a trámite la misma, como así autoriza el art. 6 de la Ley Orgánica 6/84”.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15 de abril de 2003 de la Sección Primera de este Tribunal se acordó librar despacho al Colegio de Abogados de Madrid para que se designara al citado recurrente Procurador del turno de oficio que le representara en el presente recurso de amparo. Recibido el despacho correspondiente, se tuvo por hecha la designación mediante nueva diligencia de ordenación, de fecha 24 de abril de 2003, en la que asimismo se acordaba dar al Procurador designado traslado de los escritos y documentos presentados, concediéndole un plazo de veinte días para que formulara la correspondiente demanda de amparo con los requisitos prevenidos en el art. 49 LOTC, lo que hizo mediante nuevo escrito, copia del anterior, que tuvo entrada en el Registro de este Tribunal el día 22 de mayo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dictó providencia, de 4 de noviembre de 2004, acordando la admisión a trámite de la demanda de amparo formulada por doña Nwal Zaitouni, “sin perjuicio de lo que resulte de los antecedentes”, y dispuso que se requiriera al Juzgado de Instrucción núm. 1 de los de Puerto del Rosario para que en el plazo de diez días remitiera testimonio del procedimiento de habeas corpus núm. 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el testimonio, se dictó nueva diligencia de ordenación, de fecha 17 de diciembre de 2004, teniéndolo por recibido y, a tenor de lo dispuesto en el art. 52 LOTC, dando vista de todas las actuaciones, por un plazo común de veinte días, al Ministerio Fiscal y al Procurador designado,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demandante de amparo se presentaron ante el Tribunal con fecha 28 de diciembre de 2004, indicando que, en aras a la brevedad, se remitía a los argumentos expuestos en el recurso de amparo, reiterando que se han obviado los arts. 61 y 55.2 de la Ley de extranjería (según la redacción de la fecha de los hechos), por lo cual, al haber sido decretada la detención por persona distinta al Subdelegado del Gobierno en Las Palmas, ésta fue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registradas el 17 de enero de 2005, el Fiscal, partiendo de la doctrina constitucional sobre la cuestión, subraya que la finalidad del proceso de habeas corpus es posibilitar el control judicial a posteriori de la legalidad y de las condiciones en las que se desarrollan las privaciones de libertad que no hayan sido acordadas judicialmente, control que, aunque limitado por razón de su objeto, no puede verse reducido en su calidad o intensidad. Para su realización es posible distinguir dos fases en el procedimiento: una, la de admisibilidad, que tiene por objeto verificar la concurrencia de los requisitos exigidos por la Ley Orgánica 6/1984 para dar trámite a la solicitud; otra, la de fondo, para enjuiciar la legalidad de la detención, después de que el detenido haya sido puesto de manifiesto a la autoridad judicial y se hayan formulado las alegaciones y practicado las pruebas conducentes a acreditar los datos que fundamentan la petición. </w:t>
      </w:r>
    </w:p>
    <w:p w:rsidRPr="00C21FFE" w:rsidR="00F31FAF" w:rsidRDefault="00356547">
      <w:pPr>
        <w:rPr/>
      </w:pPr>
      <w:r w:rsidRPr="&lt;w:rPr xmlns:w=&quot;http://schemas.openxmlformats.org/wordprocessingml/2006/main&quot;&gt;&lt;w:lang w:val=&quot;es-ES_tradnl&quot; /&gt;&lt;/w:rPr&gt;">
        <w:rPr/>
        <w:t xml:space="preserve">Los requisitos de admisibilidad del habeas corpus están contenidos en los arts. 2 a 4 de la Ley Orgánica 6/1984, en cuyos preceptos se determina la competencia del órgano judicial ante el que se presenta la solicitud para el conocimiento de ésta, la legitimación de la persona que la formula y el contenido de la misma, integrado por la identidad del solicitante y la de la persona para la que el mismo se pide, el lugar en que se encuentra la persona detenida y autoridad o persona que la tenga bajo su custodia, si es que tales datos son conocidos, y las circunstancias que puedan resultar relevantes y, finalmente, el motivo por el que se insta el procedimiento. </w:t>
      </w:r>
    </w:p>
    <w:p w:rsidRPr="00C21FFE" w:rsidR="00F31FAF" w:rsidRDefault="00356547">
      <w:pPr>
        <w:rPr/>
      </w:pPr>
      <w:r w:rsidRPr="&lt;w:rPr xmlns:w=&quot;http://schemas.openxmlformats.org/wordprocessingml/2006/main&quot;&gt;&lt;w:lang w:val=&quot;es-ES_tradnl&quot; /&gt;&lt;/w:rPr&gt;">
        <w:rPr/>
        <w:t xml:space="preserve">Advierte el Fiscal que, aparte de lo que deriva de tales requisitos, la inadmisión a limine del habeas corpus puede ser acordada cuando la persona para la que se insta no se encuentra detenida en el momento de presentarse la solicitud. Pero cuando la situación de privación de libertad persiste en tal momento y la misma no ha sido judicialmente decidida, lo procedente es acordar la admisión a trámite para enjuiciar la licitud de la detención. El enjuiciamiento de fondo tiene por objeto verificar la legalidad de la detención, conforme a lo dispuesto en el art. 1 Ley Orgánica 6/1984 y, para ello, deberá preceder la manifestación del detenido, quien será oído en declaración o, en su caso, su representante legal o su abogado si lo hubiera designado, así como la Autoridad o persona que lo tenga bajo su custodia, practicándose las pruebas que propongan si el Juez las estima pertinentes y se pueden practicar en el acto. </w:t>
      </w:r>
    </w:p>
    <w:p w:rsidRPr="00C21FFE" w:rsidR="00F31FAF" w:rsidRDefault="00356547">
      <w:pPr>
        <w:rPr/>
      </w:pPr>
      <w:r w:rsidRPr="&lt;w:rPr xmlns:w=&quot;http://schemas.openxmlformats.org/wordprocessingml/2006/main&quot;&gt;&lt;w:lang w:val=&quot;es-ES_tradnl&quot; /&gt;&lt;/w:rPr&gt;">
        <w:rPr/>
        <w:t xml:space="preserve">La distinción entre una y otra fase del proceso impide que el fondo del mismo pueda resolverse en la fase de admisión, ya que, en tal caso, se decidiría sobre la legalidad de la privación de libertad sin que el detenido ni las personas que lo custodian pudieran ser oídos y sin que se practicaran las pruebas que uno y otro pudieran proponer. </w:t>
      </w:r>
    </w:p>
    <w:p w:rsidRPr="00C21FFE" w:rsidR="00F31FAF" w:rsidRDefault="00356547">
      <w:pPr>
        <w:rPr/>
      </w:pPr>
      <w:r w:rsidRPr="&lt;w:rPr xmlns:w=&quot;http://schemas.openxmlformats.org/wordprocessingml/2006/main&quot;&gt;&lt;w:lang w:val=&quot;es-ES_tradnl&quot; /&gt;&lt;/w:rPr&gt;">
        <w:rPr/>
        <w:t xml:space="preserve">Sobre esta base, señala el Fiscal que la aplicación de la doctrina expuesta conduce inexorablemente en el presente caso al otorgamiento del amparo que se pide. No es función de este Tribunal determinar si, en casos como el presente, era o no legítima la detención de la persona en cuyo nombre se solicita amparo, sino, más sencillamente, comprobar si contó con la garantía que para la integridad del derecho a la libertad se prevé en nuestra Constitución. En consecuencia,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w:t>
      </w:r>
    </w:p>
    <w:p w:rsidRPr="00C21FFE" w:rsidR="00F31FAF" w:rsidRDefault="00356547">
      <w:pPr>
        <w:rPr/>
      </w:pPr>
      <w:r w:rsidRPr="&lt;w:rPr xmlns:w=&quot;http://schemas.openxmlformats.org/wordprocessingml/2006/main&quot;&gt;&lt;w:lang w:val=&quot;es-ES_tradnl&quot; /&gt;&lt;/w:rPr&gt;">
        <w:rPr/>
        <w:t xml:space="preserve">“Por su parte, en la Ley Orgánica 6/84, cuando se regula la mencionada garantía del derecho a la libertad, se dispone que el referido enjuiciamiento sobre la legalidad de la detención puede ir precedido de una fase de admisibilidad en la que se puede decidir la inadmisión del proceso en determinados casos, entre los que no se encuentra, como se ha dicho antes, la licitud de la detención, cuestión ésta para cuya resolución es necesario que, después de que el proceso haya superado la fase de admisión, el detenido haya sido manifestado al Juez, ante el cual expondrá las razones por las que considera ilegítima su privación de libertad, exposición que igualmente deben hacer las autoridades o personas encargadas de su custodia y en cuya audiencia podrá también practicarse prueba”. </w:t>
      </w:r>
    </w:p>
    <w:p w:rsidRPr="00C21FFE" w:rsidR="00F31FAF" w:rsidRDefault="00356547">
      <w:pPr>
        <w:rPr/>
      </w:pPr>
      <w:r w:rsidRPr="&lt;w:rPr xmlns:w=&quot;http://schemas.openxmlformats.org/wordprocessingml/2006/main&quot;&gt;&lt;w:lang w:val=&quot;es-ES_tradnl&quot; /&gt;&lt;/w:rPr&gt;">
        <w:rPr/>
        <w:t xml:space="preserve">Sin embargo, no es tal lo acontecido en el presente caso, en el que el demandante de amparo estaba privado de libertad en el momento de presentarse la solicitud de habeas corpus y, puesto que en dicha solicitud se expresaban los motivos por los que se consideraba ilegítima la detención, lo procedente habría sido admitir a trámite el proceso para que, durante la audiencia en la que se pusiera de manifiesto el detenido al Juez, se practicara la prueba y, a su vista, se adoptara la resolución que procediese sobre la estimación o desestimación de la petición. </w:t>
      </w:r>
    </w:p>
    <w:p w:rsidRPr="00C21FFE" w:rsidR="00F31FAF" w:rsidRDefault="00356547">
      <w:pPr>
        <w:rPr/>
      </w:pPr>
      <w:r w:rsidRPr="&lt;w:rPr xmlns:w=&quot;http://schemas.openxmlformats.org/wordprocessingml/2006/main&quot;&gt;&lt;w:lang w:val=&quot;es-ES_tradnl&quot; /&gt;&lt;/w:rPr&gt;">
        <w:rPr/>
        <w:t xml:space="preserve">En lugar de ello, el Juez optó por inadmitir directamente el proceso por entender que la audiencia practicada con la Sra. Zaitouni en el marco de la Ley de extranjería legitimaba su actuación y, “sin reparar en que dicha audiencia, aunque fuese equivalente a la manifestación del detenido” prevista en la Ley Orgánica 6/1984, no satisfacía todas las finalidades que dicha Ley le otorga, concretamente las de que las autoridades que custodian al detenido expliquen las razones de la detención y la de practicar la prueba que hubiese sido admitida. Es patente, así, que se vulneró la garantía que para la libertad se establece en el art. 17.4 CE y, por tanto, la libertad misma, para cuyo restablecimiento este Tribunal no puede hacer otra cosa que declarar la referida vulneración y anular la resolución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2005 el Pleno de este Tribunal, de conformidad con lo dispuesto en el art. 10 k) LOTC, acordó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julio de 2005 el Pleno, en virtud de lo dispuesto en el art. 88 LOTC, acordó dirigir atenta comunicación: 1) al Juzgado de Instrucción núm. 1 de Puerto del Rosario a fin de que, a la mayor brevedad posible, remitiera testimonio de todas las actuaciones seguidas respecto de doña Nwal Zaitouni, al amparo de la Ley Orgánica 4/2000 modificada por la Ley Orgánica 8/2000, como diligencias indeterminadas 31-2003; y 2) a la comisaría de policía de Puerto del Rosario a fin de que remitiera testimonio, con igual brevedad, de todas las actuaciones practicadas respecto a la demandante en las diligencias policiales 734-2003.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16 de septiembre de 2005, la Secretaria de Justicia del Pleno tuvo por recibidos los testimonios e hizo entrega de copia a la parte recurrente y al Fiscal para alegaciones, en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informe el 5 de octubre de 2005. En él sostiene que del examen de las actuaciones remitidas resultan algunos hechos que dejan la pretensión de amparo desprovista de fundamento. Invocando la misma doctrina contenida en su escrito anterior, de 17 de enero, indica que “es patente que la persona en cuyo nombre se pedía amparo se encontraba privada de libertad bajo control judicial, precisamente del mismo Juzgado ante el que se promovía el procedimiento de habeas corpus que, por tanto, se manifestaba a limine carente de objeto, ya que el control judicial de la privación de libertad que con él se pretendía había sido realizado”. Por lo expuesto, el Fiscal concluye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No se recibió escrito alguno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noviembre de 2005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26 de marzo de 2003 del Juzgado de Instrucción núm. 1 de Puerto del Rosario, que inadmitió a trámite la petición de habeas corpus deducida por doña Nwal Zaitouni.</w:t>
      </w:r>
    </w:p>
    <w:p w:rsidRPr="00C21FFE" w:rsidR="00F31FAF" w:rsidRDefault="00356547">
      <w:pPr>
        <w:rPr/>
      </w:pPr>
      <w:r w:rsidRPr="&lt;w:rPr xmlns:w=&quot;http://schemas.openxmlformats.org/wordprocessingml/2006/main&quot;&gt;&lt;w:lang w:val=&quot;es-ES_tradnl&quot; /&gt;&lt;/w:rPr&gt;">
        <w:rPr/>
        <w:t xml:space="preserve">La demanda, con base en la argumentación de la que se ha dejado constancia en los antecedentes de esta Sentencia, imputa a la resolución judicial impugnada la vulneración del derecho a la libertad personal del detenido, alegando que, al haber sido decretada la detención por persona distinta al Subdelegado del Gobierno en Las Palmas, aquélla fue ilegal. Como se ha indicado, el Ministerio Fiscal, que inicialmente interesó la estimación del recurso de amparo, finalmente, una vez conocido el curso completo de los acontecimientos con la documentación recabada por este Pleno —antecedentes 9, 10 y 11—, solicitó la denegación del mismo, dado que, en el momento de instarse el habeas corpus ya se había llevado a cabo el control judicial de la privación de libertad de doña Nwal Zaitouni.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es de señalar que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que puede resumirse, a los efectos que a este recurso de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24 de mayo (LOHC),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ello, si se da el presupuesto de la privación de libertad y se cumplen los requisitos formales para la admisión a trámite, no es lícito denegar la incoación del habeas corpus. Ahora bien, este Tribunal ha admitido el rechazo liminar en supuestos en los cuales no se daba el presupuesto de privación de libertad o de falta de competencia del órgano judicial.</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de tal modo que ‘cuando el recurrente no se encuentra privado de libertad, la misma podía ser denegada de modo preliminar, en virtud de lo dispuesto en el art. 6 de la Ley Orgánica 6/1984, puesto que en tales condiciones no procedía incoar el procedimiento’.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las detenciones policiales, las detenciones impuestas en materia de extranjería o las sanciones de arresto domiciliario impuestas en expedientes disciplinarios por las autoridades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por lo que se refiere a las detenciones producidas en el ámbito propio de la legislación de extranjería, ha de señalarse que nuestras resoluciones en recursos de amparo se han referido a detenciones o retenciones gubernativas (así, SSTC 21/1996, de 12 de febrero; 174/1999, de 27 de septiembre; 179/2000, de 26 de junio), es decir, a privaciones de libertad realizadas por la policía sin previa autorización judicial y al amparo de la normativa vigente en materia de extranjería. Típico supuesto, pues, de privación de libertad necesitada de un control judicial a posteriori sobre su legalidad, articulado en nuestro Derecho —con carácter general y al margen de mecanismos específicos establecidos por la legislación de extranjería—, a través del procedimiento de habeas corpus.</w:t>
      </w:r>
    </w:p>
    <w:p w:rsidRPr="00C21FFE" w:rsidR="00F31FAF" w:rsidRDefault="00356547">
      <w:pPr>
        <w:rPr/>
      </w:pPr>
      <w:r w:rsidRPr="&lt;w:rPr xmlns:w=&quot;http://schemas.openxmlformats.org/wordprocessingml/2006/main&quot;&gt;&lt;w:lang w:val=&quot;es-ES_tradnl&quot; /&gt;&lt;/w:rPr&gt;">
        <w:rPr/>
        <w:t xml:space="preserve">Sin embargo, en la STC 115/1987, de 7 de julio, FJ 1, en recurso directo, en lo que ahora importa, dirigido contra el art. 26 de la Ley Orgánica 7/1985, de 1 de julio, sobre derechos y libertades de los extranjeros en España, descartábamos la inconstitucionalidad de su apartado 2, que permitía el internamiento de extranjeros tras interesarlo del Juez de instrucción la autoridad gubernativa, haciendo una interpretación del régimen legal entonces vigente en la que concluíamos que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(FJ 1). Esta afirmación se hizo en un contexto en el que importaba dejar claro que “la disponibilidad sobre la pérdida de libertad es judicial, sin perjuicio del carácter administrativo de la decisión de expulsión y de la ejecución de la misma”. Por ello se subrayaba el estricto sometimiento de la autoridad gubernativa al control de los Tribunales, que no derivaba de forma terminantemente clara de la literalidad del texto legal.</w:t>
      </w:r>
    </w:p>
    <w:p w:rsidRPr="00C21FFE" w:rsidR="00F31FAF" w:rsidRDefault="00356547">
      <w:pPr>
        <w:rPr/>
      </w:pPr>
      <w:r w:rsidRPr="&lt;w:rPr xmlns:w=&quot;http://schemas.openxmlformats.org/wordprocessingml/2006/main&quot;&gt;&lt;w:lang w:val=&quot;es-ES_tradnl&quot; /&gt;&lt;/w:rPr&gt;">
        <w:rPr/>
        <w:t xml:space="preserve">Pero en el caso que ahora se examina,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de la Ley de enjuiciamiento criminal (LECrim).</w:t>
      </w:r>
    </w:p>
    <w:p w:rsidRPr="00C21FFE" w:rsidR="00F31FAF" w:rsidRDefault="00356547">
      <w:pPr>
        <w:rPr/>
      </w:pPr>
      <w:r w:rsidRPr="&lt;w:rPr xmlns:w=&quot;http://schemas.openxmlformats.org/wordprocessingml/2006/main&quot;&gt;&lt;w:lang w:val=&quot;es-ES_tradnl&quot; /&gt;&lt;/w:rPr&gt;">
        <w:rPr/>
        <w:t xml:space="preserve">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El habeas corpus sólo es factible, por tanto, en los supuestos de privación de libertad que no tienen otro fundamento que la sola voluntad de la autoridad gubernativa, quedando excluido como remedio procesal para las situaciones de privación de libertad dispuestas por el Juez y en el espacio temporal por el que éste las haya autorizado. En consecuencia, un internamiento decidido judicialmente que se extienda más allá del plazo señalado en el Auto dictado al efecto pasa a ser una situación de privación de libertad que, por carecer ya del fundamento judicial que lo hizo constitucionalmente legítimo, no tiene más apoyo que la voluntad gubernativa, lo que la hace objeto posible de una solicitud de habeas corpus, siendo éste el sentido cabal en el que ha de entenderse lo afirmado en la citada STC 115/1987 para la Ley Orgánica 7/1985, una vez que se proyecta sobre la nueva legislación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la aplicación de esta doctrina al caso que ahora se examina ha de dejarse constancia de los siguientes hechos:</w:t>
      </w:r>
    </w:p>
    <w:p w:rsidRPr="00C21FFE" w:rsidR="00F31FAF" w:rsidRDefault="00356547">
      <w:pPr>
        <w:rPr/>
      </w:pPr>
      <w:r w:rsidRPr="&lt;w:rPr xmlns:w=&quot;http://schemas.openxmlformats.org/wordprocessingml/2006/main&quot;&gt;&lt;w:lang w:val=&quot;es-ES_tradnl&quot; /&gt;&lt;/w:rPr&gt;">
        <w:rPr/>
        <w:t xml:space="preserve">a) Doña Nwal Zaitouni fue interceptada por funcionarios del servicio marítimo de la Guardia civil a bordo de una embarcación sin matrícula a las 23:15 horas del domingo 23 de marzo de 2003, junto a otros veintidós extranjeros, a siete millas al sur del Faro de La Entallada en la isla de Fuerteventura.</w:t>
      </w:r>
    </w:p>
    <w:p w:rsidRPr="00C21FFE" w:rsidR="00F31FAF" w:rsidRDefault="00356547">
      <w:pPr>
        <w:rPr/>
      </w:pPr>
      <w:r w:rsidRPr="&lt;w:rPr xmlns:w=&quot;http://schemas.openxmlformats.org/wordprocessingml/2006/main&quot;&gt;&lt;w:lang w:val=&quot;es-ES_tradnl&quot; /&gt;&lt;/w:rPr&gt;">
        <w:rPr/>
        <w:t xml:space="preserve">b) Los funcionarios no pudieron verificar la ruta de entrada en el mar territorial español de la embarcación; pero sí comprobaron que todos sus ocupantes carecían de cualquier tipo de documentación que acreditara la entrada o estancia legal en España.</w:t>
      </w:r>
    </w:p>
    <w:p w:rsidRPr="00C21FFE" w:rsidR="00F31FAF" w:rsidRDefault="00356547">
      <w:pPr>
        <w:rPr/>
      </w:pPr>
      <w:r w:rsidRPr="&lt;w:rPr xmlns:w=&quot;http://schemas.openxmlformats.org/wordprocessingml/2006/main&quot;&gt;&lt;w:lang w:val=&quot;es-ES_tradnl&quot; /&gt;&lt;/w:rPr&gt;">
        <w:rPr/>
        <w:t xml:space="preserve">c) Esa misma madrugada, la Guardia civil hizo entrega de las personas rescatadas en el mar a funcionarios de la policía nacional en la comisaría local de Puerto del Rosario, “a los efectos previstos” en la legislación sobre extranjería.</w:t>
      </w:r>
    </w:p>
    <w:p w:rsidRPr="00C21FFE" w:rsidR="00F31FAF" w:rsidRDefault="00356547">
      <w:pPr>
        <w:rPr/>
      </w:pPr>
      <w:r w:rsidRPr="&lt;w:rPr xmlns:w=&quot;http://schemas.openxmlformats.org/wordprocessingml/2006/main&quot;&gt;&lt;w:lang w:val=&quot;es-ES_tradnl&quot; /&gt;&lt;/w:rPr&gt;">
        <w:rPr/>
        <w:t xml:space="preserve">d) El Comisario Jefe acordó inmediatamente incoar procedimiento de expulsión respecto de la Sra. Zaitouni, con detención cautelar, dadas las circunstancias —“sin domicilio conocido e indocumentada”—, interesando de la autoridad judicial su internamiento preventivo, todo ello en virtud de la delegación de funciones hecha por la Subdelegada del Gobierno en Las Palmas en favor del mencionado Jefe de la comisaría local.</w:t>
      </w:r>
    </w:p>
    <w:p w:rsidRPr="00C21FFE" w:rsidR="00F31FAF" w:rsidRDefault="00356547">
      <w:pPr>
        <w:rPr/>
      </w:pPr>
      <w:r w:rsidRPr="&lt;w:rPr xmlns:w=&quot;http://schemas.openxmlformats.org/wordprocessingml/2006/main&quot;&gt;&lt;w:lang w:val=&quot;es-ES_tradnl&quot; /&gt;&lt;/w:rPr&gt;">
        <w:rPr/>
        <w:t xml:space="preserve">e) La mañana del lunes 24 de marzo estuvo dedicada a indagaciones policiales, con la colaboración de un intérprete, sobre la filiación y antecedentes de los detenidos. Ese mismo día se puso en conocimiento de la Sra. Zaitouni que había sido detenida por una infracción de la Ley Orgánica 8/2000 y se le informó de sus derechos a no declarar, a designar Abogado y una persona para poner en su conocimiento el hecho de la detención y el lugar de custodia, y a ser reconocida por un facultativo; de ello queda constancia en un impreso bilingüe, en árabe y español, firmado por el instructor del procedimiento y la interesada.</w:t>
      </w:r>
    </w:p>
    <w:p w:rsidRPr="00C21FFE" w:rsidR="00F31FAF" w:rsidRDefault="00356547">
      <w:pPr>
        <w:rPr/>
      </w:pPr>
      <w:r w:rsidRPr="&lt;w:rPr xmlns:w=&quot;http://schemas.openxmlformats.org/wordprocessingml/2006/main&quot;&gt;&lt;w:lang w:val=&quot;es-ES_tradnl&quot; /&gt;&lt;/w:rPr&gt;">
        <w:rPr/>
        <w:t xml:space="preserve">f) El mismo lunes 24, el policía instructor del expediente se dirigió mediante telefonema al Colegio de Abogados de Las Palmas para comunicar las detenciones; ese día, el Comisario dirigió un oficio al Juzgado de guardia solicitando el internamiento, en lo que ahora importa, de la Sra. Zaitouni.</w:t>
      </w:r>
    </w:p>
    <w:p w:rsidRPr="00C21FFE" w:rsidR="00F31FAF" w:rsidRDefault="00356547">
      <w:pPr>
        <w:rPr/>
      </w:pPr>
      <w:r w:rsidRPr="&lt;w:rPr xmlns:w=&quot;http://schemas.openxmlformats.org/wordprocessingml/2006/main&quot;&gt;&lt;w:lang w:val=&quot;es-ES_tradnl&quot; /&gt;&lt;/w:rPr&gt;">
        <w:rPr/>
        <w:t xml:space="preserve">g) El martes 25 de marzo, el Juzgado de Instrucción núm. 1 de Puerto del Rosario tomó declaración a doña Nwal Zaitouni, a fin de ser oída sobre la solicitud de internamiento; se encontraba asistida por intérprete de árabe y por Abogado; en el acta de audiencia consta que entró en España mediante patera desde el Sahara; que carece de documentación; y que afirma tener una prima en Las Palmas.</w:t>
      </w:r>
    </w:p>
    <w:p w:rsidRPr="00C21FFE" w:rsidR="00F31FAF" w:rsidRDefault="00356547">
      <w:pPr>
        <w:rPr/>
      </w:pPr>
      <w:r w:rsidRPr="&lt;w:rPr xmlns:w=&quot;http://schemas.openxmlformats.org/wordprocessingml/2006/main&quot;&gt;&lt;w:lang w:val=&quot;es-ES_tradnl&quot; /&gt;&lt;/w:rPr&gt;">
        <w:rPr/>
        <w:t xml:space="preserve">h) Por Auto de esa misma fecha, dictado en las diligencias indeterminadas 31-2003, el Juzgado autorizó el internamiento preventivo de la interesada, en virtud de los arts. 53 y 54 de la Ley Orgánica 4/2000, de 11 de enero, reformada por la Ley Orgánica 8/2000, de 22 de diciembre, en un centro de detención de extranjeros en territorio nacional, por un periodo máximo de cuarenta días, ofreciendo recurso de reforma.  Efectivamente dicho Auto fue recurrido por el Letrado de la Sra. Zaitouni el siguiente 28 de marzo, por falta de motivación y porque la solicitud había sido formulada por una autoridad incompetente, al no serlo el Subdelegado del Gobierno; el recurso de reforma fue desestimado por Auto del Juzgado de 11 de abril de 2003 que razonaba sobre la “falta de arraigo en territorio nacional”, “que en caso de que fuese acordada su puesta en libertad, vendría a imposibilitar su posterior localización a los efectos del expediente administrativo”. Por último, la Audiencia Provincial en grado de apelación desestimó el recurso mediante Auto de 28 de enero de 2004.</w:t>
      </w:r>
    </w:p>
    <w:p w:rsidRPr="00C21FFE" w:rsidR="00F31FAF" w:rsidRDefault="00356547">
      <w:pPr>
        <w:rPr/>
      </w:pPr>
      <w:r w:rsidRPr="&lt;w:rPr xmlns:w=&quot;http://schemas.openxmlformats.org/wordprocessingml/2006/main&quot;&gt;&lt;w:lang w:val=&quot;es-ES_tradnl&quot; /&gt;&lt;/w:rPr&gt;">
        <w:rPr/>
        <w:t xml:space="preserve">i) También el 25 de marzo, doña Nwal Zaitouni instó ante el Juzgado de guardia de Puerto del Rosario el habeas corpus, cuya admisión a trámite fue denegada por Auto del día siguiente, basándose en que la finalidad del habeas corpus ya se había cumplido al haber sido oída aquélla por el Juez sobre las circunstancias de su detención, lo que dejaba sin objeto el mencionado procedimiento. Este es el Auto aquí impugnado.</w:t>
      </w:r>
    </w:p>
    <w:p w:rsidRPr="00C21FFE" w:rsidR="00F31FAF" w:rsidRDefault="00356547">
      <w:pPr>
        <w:rPr/>
      </w:pPr>
      <w:r w:rsidRPr="&lt;w:rPr xmlns:w=&quot;http://schemas.openxmlformats.org/wordprocessingml/2006/main&quot;&gt;&lt;w:lang w:val=&quot;es-ES_tradnl&quot; /&gt;&lt;/w:rPr&gt;">
        <w:rPr/>
        <w:t xml:space="preserve">j) Mientras tanto, el procedimiento gubernativo había seguido su curso: el martes 25 de marzo de 2003, a las 20:22 horas de la tarde, la Sra. Zaitouni fue notificada del acuerdo de incoación y pliego de cargos del expediente de expulsión; se encontraba asistida por intérprete y Abogado, que firmaron conjuntamente con ella el escrito de notificación, donde se le informó que disponía de un plazo de cuarenta y ocho horas para formular alegaciones y pedir prueba.</w:t>
      </w:r>
    </w:p>
    <w:p w:rsidRPr="00C21FFE" w:rsidR="00F31FAF" w:rsidRDefault="00356547">
      <w:pPr>
        <w:rPr/>
      </w:pPr>
      <w:r w:rsidRPr="&lt;w:rPr xmlns:w=&quot;http://schemas.openxmlformats.org/wordprocessingml/2006/main&quot;&gt;&lt;w:lang w:val=&quot;es-ES_tradnl&quot; /&gt;&lt;/w:rPr&gt;">
        <w:rPr/>
        <w:t xml:space="preserve">k) Transcurrido el plazo sin alegación alguna, el Subdelegado del Gobierno dictó resolución el martes 8 de abril de 2003 acordando la expulsión de doña Nwal Zaitouni del territorio español, en virtud del art. 53 a) de la Ley de extranjería; resolución que fue notificada a la interesada el siguiente viernes día 11, sin que conste que interpusiera recurso alguno contra la expulsión; finalmente, la decisión fue ejecutada el martes 15 de abril (con posterioridad, por tanto, a la interposición de la presente demanda de amparo), mediante traslado a Melilla por vía aérea para su posterior deportación a su país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deriva de todo lo expuesto, el mismo día 25 de marzo en que se promovió el habeas corpus, origen del presente recurso de amparo, el Juzgado de Instrucción había tomado declaración a la Sra. Zaitouni, quien contaba con la ayuda de intérprete y la asistencia de Abogado. En esa audiencia, la detenida pudo manifestar todo lo que podía convenir a sus derechos e intereses. Y, tras oírla, el Juzgado acordó su internamiento, basándose en que concurrían las circunstancias previstas por la Ley para adoptar la medida cautelar y fijando en cuarenta días como máximo la duración de aquel internamiento.</w:t>
      </w:r>
    </w:p>
    <w:p w:rsidRPr="00C21FFE" w:rsidR="00F31FAF" w:rsidRDefault="00356547">
      <w:pPr>
        <w:rPr/>
      </w:pPr>
      <w:r w:rsidRPr="&lt;w:rPr xmlns:w=&quot;http://schemas.openxmlformats.org/wordprocessingml/2006/main&quot;&gt;&lt;w:lang w:val=&quot;es-ES_tradnl&quot; /&gt;&lt;/w:rPr&gt;">
        <w:rPr/>
        <w:t xml:space="preserve">Sobre esta base, como con acierto advierte el Ministerio Fiscal en su segundo escrito de alegaciones, “es patente que la persona en cuyo nombre se pedía amparo se encontraba privada de libertad bajo control judicial, precisamente en el mismo Juzgado ante el que se promovía el procedimiento de habeas corpus, que, por tanto, se manifestaba a limine carente de objeto, ya que el control judicial de la privación de libertad que con el mismo se pretendía había sido realizado” con anterioridad: el Juzgado, “previa audiencia” de la Sra. Zaitouni, asistida de Letrado y con comprobación de la concurrencia de los requisitos legalmente establecidos, mediante “Auto motivado”, “dispuso” su ingreso en un centro de internamiento, fijando el “periodo de máxima duración” de aquél —art. 62.1 y 2 de la Ley Orgánica 4/2000, modificada por la Ley Orgánica 8/2000—, Auto este que por virtud de recursos de reforma y apelación dio lugar a dos nuevas resoluciones judiciales.</w:t>
      </w:r>
    </w:p>
    <w:p w:rsidRPr="00C21FFE" w:rsidR="00F31FAF" w:rsidRDefault="00356547">
      <w:pPr>
        <w:rPr/>
      </w:pPr>
      <w:r w:rsidRPr="&lt;w:rPr xmlns:w=&quot;http://schemas.openxmlformats.org/wordprocessingml/2006/main&quot;&gt;&lt;w:lang w:val=&quot;es-ES_tradnl&quot; /&gt;&lt;/w:rPr&gt;">
        <w:rPr/>
        <w:t xml:space="preserve">Así pues,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 promovido por el Abogado don Luis Miguel Pérez Espadas en interés de doña Nwal Zaitouni.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2182-2003,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que, si bien estoy totalmente de acuerdo con el fallo que desestima el recurso, considero que, antes de entrar a analizar la vulneración del art. 17 CE alegada en la demanda de amparo y con cuyo tratamiento también muestro mi conformidad, siendo prioritario el examen de las cuestiones de admisibilidad sobre las de fondo, debíamos habernos pronunciado sobre la legitimación del Letrado que suscribe la demanda para interponerla en nombre de la afectada por la inadmisión a trámite del habeas corpus, teniendo en cuenta que no consta que esta última le hubiera conferido su representación, ni le hubiera encomendado la interposición de la demanda de amparo, ni se hubiera dirigido al Tribunal para mostrar su voluntad impugnativa. De hecho, el propio Abogado admite en su recurso que desconocía el paradero de la interesada, razón por la que decidió acudir personalmente ante el Tribunal Constitucional.</w:t>
      </w:r>
    </w:p>
    <w:p w:rsidRPr="00C36767" w:rsidR="00F31FAF" w:rsidRDefault="00356547">
      <w:pPr>
        <w:rPr/>
      </w:pPr>
      <w:r w:rsidRPr="&lt;w:rPr xmlns:w=&quot;http://schemas.openxmlformats.org/wordprocessingml/2006/main&quot;&gt;&lt;w:lang w:val=&quot;es-ES_tradnl&quot; /&gt;&lt;/w:rPr&gt;">
        <w:rPr/>
        <w:t xml:space="preserve">Como declaran las SSTC 184/1993, de 29 de abril (FJ 2), y 12/1994, de 17 de enero (FJ 2), “en nuestro ordenamiento constitucional, la norma que determina la legitimación activa en los procesos seguidos ante este Tribunal es la del art. 162.1 b) de la Constitución, según la cual ‘están legitimados para interponer el recurso de amparo, toda persona natural o jurídica que invoque un interés legítimo’. Es decir, que nuestra Norma suprema, si bien no consagra supuesto alguno de acción popular, tampoco otorga legitimación activa exclusivamente al titular del derecho fundamental infringido, extendiéndola también a quien ostenta ese más general legítimo interés, siendo suficiente que, con respecto al derecho fundamental infringido, el demandante se encuentre en una determinada situación jurídico material que le autorice a solicitar la tutela de este Tribunal”.</w:t>
      </w:r>
    </w:p>
    <w:p w:rsidRPr="00C36767" w:rsidR="00F31FAF" w:rsidRDefault="00356547">
      <w:pPr>
        <w:rPr/>
      </w:pPr>
      <w:r w:rsidRPr="&lt;w:rPr xmlns:w=&quot;http://schemas.openxmlformats.org/wordprocessingml/2006/main&quot;&gt;&lt;w:lang w:val=&quot;es-ES_tradnl&quot; /&gt;&lt;/w:rPr&gt;">
        <w:rPr/>
        <w:t xml:space="preserve">Ahora bien, esta situación jurídico-material “ha de ser identificable, no con un interés genérico en la preservación del derecho, sino con un interés en sentido propio, cualificado y específico, que debe ser valorado en atención al derecho fundamental que en cada caso se trate (SSTC 201/1987, 257/1988, 25/1989, 123/1989 y 25/1990)” (STC 148/1993, de 29 de abril, FJ 2, y ATC 105/1994, de 24 de marzo, FJ 1).</w:t>
      </w:r>
    </w:p>
    <w:p w:rsidRPr="00C36767" w:rsidR="00F31FAF" w:rsidRDefault="00356547">
      <w:pPr>
        <w:rPr/>
      </w:pPr>
      <w:r w:rsidRPr="&lt;w:rPr xmlns:w=&quot;http://schemas.openxmlformats.org/wordprocessingml/2006/main&quot;&gt;&lt;w:lang w:val=&quot;es-ES_tradnl&quot; /&gt;&lt;/w:rPr&gt;">
        <w:rPr/>
        <w:t xml:space="preserve">Más concretamente, y en el caso concreto de la legitimación de Abogados para interponer demandas en interés de sus clientes, hemos dicho reiteradamente que el interés que les mueve, si bien puede merecer un juicio deontológico favorable, es un simple interés genérico que no colma las exigencias de interés en sentido propio, cualificado y específico antes indicadas. Así, en el ATC 460/1986, de 28 de mayo (FJ 1), expusimos que “el recurso de amparo interpuesto, en nombre propio, por un Abogado para obtener protección del derecho a la presunción de inocencia de su cliente, condenado en juicio de faltas, puede merecer un juicio deontológico favorable e incluso laudatorio, pero en su consideración procesal no tiene otra respuesta que la inadmisibilidad por falta de legitimación activa, ya que el art. 46.1 b) LOTC la atribuye, aparte del Defensor del Pueblo y del Ministerio Fiscal, a las personas que hayan intervenido en el proceso judicial en concepto de partes, en el cual obviamente no son incluibles los Abogados que les prestan su asistencia técnica, y cuyo celo profesional y propia estimación, siendo dignos del máximo respeto, carecen en el régimen procesal del recurso de amparo de la categoría de interés portador de eficacia legitimadora por la simple razón de que dicho recurso tiene por objeto la defensa de derechos fundamentales propios y no ajenos, cualquiera que sea la vinculación moral o profesional que terceras personas tengan con sus titulares, y en contra de ello carece de trascendencia alguna la invocación del art. 81.1 de la misma Ley, puesto que el requisito de actuar bajo la dirección de Letrado que en el mismo se impone al demandante de amparo nada tiene que ver con la legitimación activa, por ser ésta un presupuesto procesal de naturaleza tan distinta a la de aquél que cualquier clase de confusión entre ellos es de patente inaceptación”. En el mismo sentido, el ATC 105/1994, de 24 de marzo, FJ 2.</w:t>
      </w:r>
    </w:p>
    <w:p w:rsidRPr="00C36767" w:rsidR="00F31FAF" w:rsidRDefault="00356547">
      <w:pPr>
        <w:rPr/>
      </w:pPr>
      <w:r w:rsidRPr="&lt;w:rPr xmlns:w=&quot;http://schemas.openxmlformats.org/wordprocessingml/2006/main&quot;&gt;&lt;w:lang w:val=&quot;es-ES_tradnl&quot; /&gt;&lt;/w:rPr&gt;">
        <w:rPr/>
        <w:t xml:space="preserve">En definitiva, creo que no puede considerarse legitimado por interés propio quien no tiene vinculación directa con el objeto litigioso ni es apoderado expreso ni tácito del afectado. Tampoco existe un interés difuso asociado a la condición de Abogado de oficio, de acuerdo con la doctrina del Tribunal Constitucional, ni cabe considerar la existencia de legitimación por sustitución, en defensa y postulación de los derechos de otros, en cuanto no se encuentra prevista en el ordenamiento, lo que es exigible. En estas circunstancias, el Abogado no puede, por estas razones, ser considerado como uno de los legitimados para interponer en nombre de su cliente demanda de amparo: la simple calidad de Abogado de oficio que esgrime el demandante de amparo no puede asimilarse a la legitimación activa para interponer el recurso de amparo. Aunque es cierto que el Abogado tiene interés, incluso que puede defender intereses de su cliente, eso no le confiere la condición de legítimamente interesado conforme a la doctrina del Tribunal Constitucional.</w:t>
      </w:r>
    </w:p>
    <w:p w:rsidRPr="00C36767" w:rsidR="00F31FAF" w:rsidRDefault="00356547">
      <w:pPr>
        <w:rPr/>
      </w:pPr>
      <w:r w:rsidRPr="&lt;w:rPr xmlns:w=&quot;http://schemas.openxmlformats.org/wordprocessingml/2006/main&quot;&gt;&lt;w:lang w:val=&quot;es-ES_tradnl&quot; /&gt;&lt;/w:rPr&gt;">
        <w:rPr/>
        <w:t xml:space="preserve">Queda por analizar si la circunstancia de que la intervención del Abogado se haya producido precisamente en un procedimiento de habeas corpus, modifica en algo la anterior conclusión. La razón residiría en que, legitimando el art. 46.1.b LOTC para interponer el amparo a quienes han sido parte en el proceso judicial correspondiente, el Tribunal ha indicado reiteradamente que el Abogado de la persona privada de libertad está legitimado para instar la iniciación del procedimiento de habeas corpus en nombre de su cliente (SSTC 224/1998, de 24 de noviembre, FJ 2; y 61/2003, de 24 de marzo, FJ 2).</w:t>
      </w:r>
    </w:p>
    <w:p w:rsidRPr="00C36767" w:rsidR="00F31FAF" w:rsidRDefault="00356547">
      <w:pPr>
        <w:rPr/>
      </w:pPr>
      <w:r w:rsidRPr="&lt;w:rPr xmlns:w=&quot;http://schemas.openxmlformats.org/wordprocessingml/2006/main&quot;&gt;&lt;w:lang w:val=&quot;es-ES_tradnl&quot; /&gt;&lt;/w:rPr&gt;">
        <w:rPr/>
        <w:t xml:space="preserve">Sin embargo, lo cierto es que ya hemos dicho que la atribución al Abogado de la capacidad de instar el proceso de habeas corpus en nombre de su cliente no le constituye en parte. En estos casos el Abogado no solicita el habeas corpus en su propio nombre (“por él mismo”), sino en su calidad de representante del verdadero interesado, de tal suerte que quien realmente insta el habeas corpus es éste (ATC 55/1996, de 6 de marzo, FJ 2).  Esta doctrina tuvo continuidad en las SSTC 224/1998, de 24 de noviembre (FJ 2), y 61/2003, de 24 de marzo (FJ 2), en las que se rechazó la inadmisión del habeas corpus instado por un Abogado afirmando que no actuaron por sí mismos, sino apoderados al efecto por el interesado (tácitamente en el primer caso y de modo expreso en el segundo). Así, quienes en realidad instaron el procedimiento fueron los propios interesados aunque, instrumentalmente y dada su situación de privación de libertad, lo efectuasen en su nombre los respectivos Abogados.</w:t>
      </w:r>
    </w:p>
    <w:p w:rsidRPr="00C36767" w:rsidR="00F31FAF" w:rsidRDefault="00356547">
      <w:pPr>
        <w:rPr/>
      </w:pPr>
      <w:r w:rsidRPr="&lt;w:rPr xmlns:w=&quot;http://schemas.openxmlformats.org/wordprocessingml/2006/main&quot;&gt;&lt;w:lang w:val=&quot;es-ES_tradnl&quot; /&gt;&lt;/w:rPr&gt;">
        <w:rPr/>
        <w:t xml:space="preserve">Esta doctrina encuentra su fundamento en evitar que se frustre la finalidad perseguida con el procedimiento “extraordinariamente rápido” del habeas corpus —“la inmediata verificación judicial de la legalidad y las exigencias de la detención”. Ahora bien, en el caso del posterior recurso de amparo, habiendo desaparecido aquella situación extraordinaria, falta toda razón, en principio, para entender subsistente en el ámbito del recurso de amparo el apoderamiento tácito que hizo viable antes la solicitud de habeas corpus, por lo que ya no resulta procedente aquella flexibilización del requisito de la legitimación que hacía innecesario, en el caso del habeas corpus, el otorgamiento del poder.</w:t>
      </w:r>
    </w:p>
    <w:p w:rsidRPr="00C36767" w:rsidR="00F31FAF" w:rsidRDefault="00356547">
      <w:pPr>
        <w:rPr/>
      </w:pPr>
      <w:r w:rsidRPr="&lt;w:rPr xmlns:w=&quot;http://schemas.openxmlformats.org/wordprocessingml/2006/main&quot;&gt;&lt;w:lang w:val=&quot;es-ES_tradnl&quot; /&gt;&lt;/w:rPr&gt;">
        <w:rPr/>
        <w:t xml:space="preserve">En definitiva,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veinticuatro de noviembre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