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Aurelio Menéndez Menéndez y don Francisco Rubio Llorente.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declara inadmisible el recurso interpuesto por don A.  M. C. contra los actos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julio actual, A. M. C., ex oficial del Cuerpo especial de prisiones, dirigió escrito a este Tribunal, pidiendo que se estudiara el recurso que promovía para lograr la absolución de la pena que le fue impuesta por Sentencia dictada por la Audiencia Provincial de Madrid, Sección Primera, el 4 de febrero de 1958, como autor de un delito de cohecho, a la pena de seis meses de arresto mayor, y multa e inhabilitación para cargos públicos. Interpuesto recurso de casación, el Tribunal Supremo el 13 de enero de 1959, casó la Sentencia y dictó otra nueva condenándole por un delito de estafa, con la agravante de prevalerse del carácter público de oficial de prisiones, a la pena de cuatro meses y un día de arresto mayor. En el escrito solicita la revisión de la Sentencia, negando los hechos que se declaran probados. Invoca el art. 14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 de septiembre, la Sección dictó providencia poniendo de manifiesto la posible existencia de las siguientes causas de inadmisión: a) falta de representación de Procurador y dirección de Letrado; b) no invocarse el derecho constitucional violado, y c) carecer la demanda de contenido constitucional. Se notificó esta providencia al Ministerio Fiscal y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pidió, en su escrito de 11 de septiembre: a) que no se oiga al recurrente en trámite de inadmisión en tanto no comparezca por medio de Procurador y Abogado; b) que se declare la falta de jurisdicción de este Tribunal por pretenderse la revisión de una causa penal, y c) que, en otro caso, se declare la inadmisión conforme a los arts. 50.1 b) en relación con el 44.1 c) y 50.2 b) en relación con el 2.1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16 de septiembre se personó, en nombre del recurrente, el Procurador don Leónidas Merino Palacios, alegando lo siguiente: a) que comparece por medio de Abogado y Procurador; b) que alega como precepto constitucional violado el art. 24 en sus dos apartados, por los motivos que en su día alegará; c) que se reclame la causa penal seguida contra su patrocinado. </w:t>
      </w:r>
    </w:p>
    <w:p w:rsidRPr="00C21FFE" w:rsidR="00AD51A7" w:rsidRDefault="00AD51A7">
      <w:pPr>
        <w:rPr/>
      </w:pPr>
      <w:r w:rsidRPr="&lt;w:rPr xmlns:w=&quot;http://schemas.openxmlformats.org/wordprocessingml/2006/main&quot;&gt;&lt;w:lang w:val=&quot;es-ES_tradnl&quot; /&gt;&lt;/w:rPr&gt;">
        <w:rPr/>
        <w:t xml:space="preserve">Considerando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pretende en su demanda que se enjuicien los hechos que dieron lugar al proceso penal al que puso fin la Sentencia del 13 de enero de 1959 y pretende, en realidad, la revisión de una Sentencia condenatoria como si el cauce del amparo fuera el de un recurso de revisión contra Sentencias firmes, aunque sin subsumir el caso en algunos de los supuestos de revisión del art. 954 de la Ley de Enjuiciamiento Criminal, porque lo que alega es error en la apreciación de las pruebas que llevaron a la Sentencia condenatoria.  Este planteamiento pone bien de manifiesto que la cuestión que suscita el recurrente no es de las que el art. 2.1 de la LOTC atribuya al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Pretende ahora el recurrente, mediante el escrito que ha presentado en el trámite de los arts. 50.1 y 85.2 de la LOTC, bajo la representación de Procurador y asistido de Letrado, dar cobertura constitucional a este proceso mediante la invocación del art. 24 de la Constitución Española, desviando desde el art 14 al citado art.  24 el planteamiento que hizo en la demanda La alteración del fundamento constitucional no abre, sin embargo, la vía del recurso de amparo, porque, además de no exponerse hechos que fundamenten una pretensión de amparo de derechos del art. 24 de la Constitución Española, es lo cierto que, según lo dispuesto en el art. 44.1 b) de la LOTC, tendría que imputarse la violación del derecho o libertad a una acción u omisión quebrantadora de los derechos del art. 24 de la C. E., y aquí ninguna se invoca.  No es necesario acudir a lo que dice la Disposición Transitoria segunda de la LOTC y la Final de la Constitución, la primera en cuanto se refiere al ejercicio del recurso de amparo respecto de los actos anteriores y la segunda en cuanto señala el momento de entrada en vigor de la Constitución; pues fija su vigencia sin proyecciones retroactivas en casos como el actual y se abre el recurso de amparo respecto de actos anteriores al tiempo de constitución del Tribunal a aquellos que no hubieren agotado sus efectos.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declara inadmisible el recurso interpuesto por don A.  M. C. contra los actos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