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agosto de 198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erónimo Arozamena Sierra, don Ángel Escudero del Corral y don Antonio Truyol S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09-198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09/198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or lo expuesto, la Sección acuerda denegar la suspensión de que se ha hecho mérit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n 20 de julio pasado se presentó por la «Compañía Internacional de Seguros, S. A.», demanda de amparo frente a providencia dictada por el Juzgado de Instrucción núm. 1, de Hospitalet, de 5 de abril de 1983, que requirió a la demandante al abono de una completa indemnización en lugar de sólo las cantidades cubiertas por el Seguro Obligatorio de Automóviles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En la referida demanda de amparo se pidió la suspensión de la ejecución de la resolución impugnada, formándose la correspondiente pieza separada en que fueron oídos la demandante y el Ministerio Fiscal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La representación demandante ratificó lo alegado en la demanda, en que exponía que el amparo perdería su finalidad con la ejecución que pretendía se suspendiese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El Ministerio Fiscal expone que de las alegaciones del recurrente no se deriva que la ejecución pueda ocasionar perjuicio excluyente de la eficacia del ampar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Unico.  En la demanda no se precisa cuáles son los perjuicios que para el derecho fundamental cuya protección se pide, pudieran derivarse de la ejecución de la resolución recurrida. Y esta omisión no se subsana en el escrito presentado en el trámite del art. 56.2 de la LOTC, por lo que falta el presupuesto para adoptar una decisión de suspensión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Por lo expuesto, la Sección acuerda denegar la suspensión de que se ha hecho mérit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doce de agosto de mil novecientos ochenta y tres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