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Sala acuerda dar por finalizada la pieza separada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Corujo López Villamil, en nombre y representación de don Vidal Perfecto Quijada López, por medio de escrito presentado el 14 de mayo de 1984, interpuso demanda de amparo contra el Auto de 4 de marzo de 1982, dictado por el Juzgado de Instrucción de Toro (Zamora) en el sumario núm. 1/1982, que le procesó por delito de imprudencia, posteriormente confirmado al resolverse los recursos de reforma y subsidiario de apelación, en su día interpuestos; contra la Sentencia de la Audiencia Provincial de Zamora de 11 de septiembre dictada en dicha causa que le condenó, como autor de una falta de imprudencia, a la pena de 10.000 pesetas de multa y reprensión privada, con arresto sustitutorio de diez días, al pago de las costas e indemnizaciones señaladas; y contra la del Tribunal Supremo de 27 de febrero de 1984, que declaró no haber lugar al recurso de casación interpuesto contra aquélla. Invoca la vulneración de los arts. 14 y 24 de la Constitución que reconocen los derechos a la igualdad y a la tutela judicial efectiva y presunción de inocencia, interesando se declare la nulidad de las resoluciones judiciales impugnadas. Por otrosí solicita la suspensión de la ejecución de tales resoluciones.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julio de 1984, la Sección acordó admitir a trámite la demanda, formar la pieza separada de suspensión, y conceder un plazo de tres días al Ministerio Fiscal y al solicitante del amparo para que alegasen lo que estimasen procedente. Asimismo, en dicha resolución se interesaba del Juzgado de Instrucción de Toro, como órgano ejecutor de la resolución impugnada, informe sobre la procedencia de la suspensión, con o sin caución.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su escrito del 19 de julio razonaba que si bien el contenido eminentemente económico de la condena no suponía que la ejecución hiciera perder al amparo su finalidad, sin embargo el eventual embargo de los bienes del recurrente crearía una situación de difícil reparación, por lo que interesaba la suspensión con el correspondiente afianzamiento, teniéndose además en cuenta lo dispuesto en el art. 921 bis de la L. E. C. sobre el devengo de intereses a favor de los acreedores. El promovente del amparo presentó su escrito de 24 de julio haciendo constar que el pago de la cantidad procedente se hallaba plenamente garantizado en las actuaciones por aval bancario y anotación de embargo sobre determinados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30 de julio de 1984 se recibe comunicación del Juez de Primera Instancia e Instrucción de Toro, en la que se indica que el sumario núm. 1 de 1982 se encuentra en la Audiencia de Zamora; añadiéndose que lo único que obra en el Juzgado es una carta-orden de la citada Audiencia, librada en la pieza de responsabilidad civil del meritado sumario, para que se proceda a la vía de apremio contra las fianzas constituidas -una de 2.100.000 pesetas, prestada por el Banco de Santander, S. A.-, y contra el embargo trabado en el piso del condenado sito en la calle Amargura, núm. 20, 1.° A de Zamora, hasta hacer efectivas las indemnizaciones de 3.500.000 pesetas más 583.333 pesetas de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agosto de 1984, la Sección acordó librar comunicación a la Audiencia Provincial de Zamora, a fin de que emita el informe acordado en la providencia de 11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29 de agosto de 1984 se recibe el informe de la Audiencia Provincial de Zamora en el sentido de que en resolución de 13 de agosto de 1984 había acordado que procedía la suspensión de la resolución recurrida, adoptando las medidas oportunas a tal fin.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pretensión de suspensión formulada por la parte actora ha venido a ser satisfecha por la resolución adoptada por la Audiencia Provincial de Zamora con fecha 13 de agosto pasado, por lo que resulta claro que en este momento, ha desaparecido el objeto de la pretensión incidental.  En consecuencia no procede que la Sala se pronuncie sobre la suspensión, y debe darse por terminada la pieza separada, ello sin perjuicio de que pueda reiterarse la pretensión incidental, de acuerdo con el art.  57 de la LOTC, si se diera en el futuro alguno de los supuestos previstos en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Sala acuerda dar por finalizada la pieza separada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