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declarar inadmisible el recurso de amparo promovido por doña Aurelia Cruz Carrascosa.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24 de julio del año en curso se registró en este Tribunal un escrito mediante el cual don Francisco Guinea y Gauna, Procurador de los Tribunales, interpuso recurso de amparo constitucional en nombre y representación de doña Aurelia Cruz Carrascosa, diciendo impugnar la Sentencia núm. 435, de 1 de julio de 1987, de la Magistratura de Trabajo núm. 1 de las de Jaén, dictada en autos 165/1987.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exponen en la demanda los siguientes hechos: a) La actora, nacida el día 5 de marzo de 1921, «perteneció al Régimen Especial de Autónomos, de la Seguridad Social», según indica en su demanda. Con fecha 19 de julio de 1986 dedujo demanda ante la jurisdicción laboral solicitando que se le reconociera la situación de incapacidad permanente, pretensión acogida en Sentencia, de fecha que no se indica, dictada por la Magistratura de Trabajo núm. 1 de las de Jaén. Esta resolución habría declarado a la hoy demandante afectada de «incapacidad permanente total», siendo su base reguladora, a efectos de pensión, la de 71. 523 pesetas mensuales. b) Por contar ya la demandante «más de cincuenta y cinco años de edad», solicitó de la Seguridad Social «el incremento del 20 por 100 de aquella base reguladora»», petición que fue denegada en razón de que dicho incremento era sólo de aplicación para los trabajadores afectos al Régimen General de la Seguridad Social, no para los adscritos -como la demandante- al «Régimen Especial de Autónomos». Según consta en la Sentencia que hoy se impugna, el Acuerdo denegatorio fue dictado por el Instituto Nacional de la Seguridad Social con fecha 16 de enero de 1987. c) Agotada la vía administrativa, formuló la señora Cruz Carrascosa demanda de la que conoció la Magistratura núm. 1 de las de Jaén. Con fecha 1 de julio de 1987 dictó su Sentencia la Magistratura de Trabajo desestimando la demanda de la actora con la siguiente fundamentación jurídica: «Que teniendo en cuenta que la actora fue declarada en situación de Invalidez Permanente Total para su profesión habitual por su condición de afiliada al Régimen Especial de Trabajadores Autónomos y dado que el 20 por 100 de incremento que el mismo solicita viene derivado de la Ley 24/1972, de 21 de junio, que desarrolla el Decreto 1.646/1972, de 23 de junio, del régimen General de la Seguridad Social, es lógico llegar a la conclusión de que al no estar encuadrado dicho trabajador autónomo en el Régimen General de la Seguridad Social, no pueden serle de aplicación los preceptos que para el incremento del 20 por 100 el mismo invoca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 la demanda se invoca, como vulnerado, el principio constitucional de igualdad (art. 14); se aduce al efecto, para argumentar tal violación, que el trabajador mayor de cincuenta y cinco años de edad no puede recibir un trato menos favorable en el Régimen Especial de Trabajadores Autónomos que el dispensado en el Régimen General de la Seguridad Social, pues lo contrario -esto es, la denegación para los trabajadores autónomos del incremento del 20 por 100 en su base reguladora- entraña la discriminación que la Constitución proscribe. Para fundame ntar este alegato se citan en la demanda el párrafo segundo del artículo 136.2 de la Ley General de la Seguridad Social (en donde se prevé el incremento de pensión para todos los pensionistas, tanto -se dice-, del Régimen General como de los regímenes especiales), el preámbulo del Decreto 2.530/1970, de 20 de agosto (en el que se diría «que en el Régimen Especial de Autónomos se tiende a lograr la homogeneidad con el Régimen General») y la Resolución de 22 de mayo de 1986 de la Secretaría General de la Seguridad Social (en la que se habría acordado que los pensionistas de incapacidad permanente total percibirán el citado incremento del 20 por 100 de la base reguladora, una vez cumplidos los cincuenta y cinco años de edad). Se añade en la demanda, reiterando la cita del art. 14 de la Constitución, que «aun en situaciones no expresamente previstas por el legislador ordinario» procedería la aplicación analógica que se prevé en el art. 4.1 del Código Civil, y se cita la Sentencia de la Sala Tercera del Tribunal Supremo de 27 de octubre de 1986. Se suplica se dicte Sentencia en la que, declarándose la nulidad de la impugnada, se reconozca el derecho de la actora «a que la base reguladora de pesetas 71.523 que tiene asignada para su pensión por incapacidad permanente total sea incrementada en un 20 por 100 por tener (sic) citada solicitante más de cincuenta y cinco años de edad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en su reunión del pasado 26 de octubre acordó poner de manifiesto en este asunto la posible existencia de las siguientes causas de inadmisibilidad: 1.ª La regulada por el art. 50.1 b), en relación con el 44.1 c) de la Ley Orgánica del Tribunal Constitucional, por no aparecer que se haya invocado en el previo proceso judicial el derecho constitucional que se dice vulnerado. 2.ª La del art. 50.2 b), por cuanto la demanda pudiera carecer de contenido que justifique una decisión de este Tribunal. Por ello, en aplicación de lo dispuesto en el art. 50 de la referida Ley Orgánica, se concedió un plazo común de diez días a la parte recurrente y al Ministerio Fiscal para que realizaran las alegaciones que estimaran pertinentes. Dentro del plazo al efecto concedido, ha presentado escrito de alegaciones la parte solicitante de amparo que insiste en sus iniciales pretensiones y que solicita que el asunto sea admitido a trámite y que el Tribunal se pronuncie sobre las peticiones contenidas en la súplica de la demanda. El Ministerio Fiscal, por su parte, ha presentado escrito solicitando la inadmisión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que se hace valer en el recurso ha de considerarse carente de contenido constitucional relevante que permita su conocimiento y fallo, en forma de Sentencia, por este Tribunal [art. 50.2 b) de su Ley Orgánica].  El sentido objetivo de la pretensión que se ejercita permite identificar al recurso, rectificando lo que en la demanda se dice, como encauzado por la vía del art. 43 de la Ley Orgánica de este Tribunal, ya que, en rigor, el acto inicial supuestamente discriminatorio habría sido aquí la resolución administrativa denegatoria de la pretensión de quien hoy demanda, adoptada por el Instituto Nacional de la Seguridad Social con fecha 16 de enero de 1987, acto éste respecto del cual la Sentencia judicial tuvo un alcance estrictamente confirmatorio, sin que, en consecuencia, sea posible imputar al órgano judicial, con carácter «inmediato y directo» (art. 44.1 de la Ley Orgánica del Tribunal Constitucional), la lesión que se aduce. Hay que añadir, junto a ello, que, aunque no se diga expresamente en la demanda, la pretensión se dirige de modo indirecto contra las normas legales que fueron tenidas en cuenta en los procedimientos que anteceden, por la Administración y por el órgano judicial, para concluir que la entonces solicitante y actora no ostentaba el derecho al incremento de pensión controvertido, al hallarse dicho beneficio exclusivamente previsto por las normas reguladoras del Régimen General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aquí importa, estas normas se encuentran recogidas en la Ley 24/1972, de 21 de junio y en el Decreto 1.646/1972, de 23 de junio, textos citados en la resolución judicial que se dice impugnar. Por lo que a aquella disposición de Ley se refiere, se ha de tener en cuenta lo dispuesto en el art. 136.2 del Texto refundido de la Ley General de la Seguridad Social (en donde quedó subsumida dicha Ley 24/1972), disposición en cuyo párrafo segundo se previene que «los declarados afectos de incapacidad permanente total para la profesión habitual percibirán la pensión prevista en el párrafo anterior incrementada en el porcentaje que reglamentariamente se determine, cuando por su edad, falta de preparación general o especializada y circunstancias sociales y laborales del lugar de residencia se presuma la dificultad de obtener empleo en actividad distinta de la habitual anterior».  Importa reseñar que, frente a lo que en la demanda se dice esta disposición legal es exclusivamente aplicable en el Régimen General de la Seguridad Social -no en los especiales-, puesto que el art. 136 citado se integra en la Sección 3.ª del Capítulo Sexto del Título II de la Ley General de la Seguridad Social, Título cuya rúbrica es «Régimen General de la Seguridad Social», en correspondencia, por lo demás, con lo que se dispone en el art. 9.1 a) del mismo texto legal.  De conformidad con el ámbito de aplicación así legalmente determinado, también afecta exclusivamente a dicho Régimen General la ordenación reglamentaria (Decreto 1.646/1972, de 23 de junio citado, según se dijo, por el juzgador a quo) del beneficio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regulación de las condiciones para la obtención de dicho incremento del 20 por 100 de la base reguladora de la pensión se contiene en el art. 6 de esta disposición reglamentaria, de título también inequívoco: «Decreto...  para la aplicación de la Ley 24/1972, de 21 de junio, en materia de prestaciones del Régimen General de la Seguridad Social».  Como conclusión, pues, se ha de reconocer que la queja por discriminación que ahora se plantea, aunque formulada con ocasión de la adopción de actos administrativos y judiciales concretos, se dirige, en realidad, contra previsiones (u omisiones, mejor) de determinadas normas jurídicas, una de las cuales ostenta fuerza de ley, consideración ésta pertinente para apreciar la hipotética conexión entre la demanda de amparo y lo dispuesto en el art. 55.2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queja constitucional, con el planteamiento resumido, ha de considerarse, como ya se dijo, carente de contenido constitucional.  No reacciona la demandante frente a una discriminación producto de una previa diferenciación normativa, pues no cabe reprochar a las normas legales y reglamentarias antes citadas haber introducido entre los sujetos a su ámbito propio de aplicación «diferenciaciones» en sentido propio que pudieran ser enjuiciadas a la luz del principio de igualdad.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Contrastando las normas que indirectamente se controvierten con las que, en el Régimen Especial de los Trabajadores Autónomos, no reconocerían el beneficio que aquí se pretendió obtener (Decreto 2.530/1970, de 20 de agosto, y Reales Decretos 2.504/1980, de 24 de octubre, y 43/1984, de 4 de enero), no se hace aparente un problema de diferenciación normativa, si no más bien una relación entre normas generales y especiales, que sólo podría discutirse, desde la perspectiva del principio de igualdad, poniendo en cuestión no los contenidos diversos de las normas que en uno y otro régimen -general y especialse incardinan, sino el principio mismo de articulación de la materia entre un Régimen General y diversos regímenes especiales [apartados a) y b) del art. 9.1 del Texto refundido de la Ley General de la Seguridad Social].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controversia sobre uno de los principios estructurales a partir de los que hoy se organiza nuestro sistema de Seguridad Social no es, sin perjuicio de otras consideraciones, admisible, teniendo en cuenta que la diversificación entre regímenes General y especiales de la Seguridad Social -se valoren del modo que sea en términos de política legislativa- se ha introducido por el legislador no diferenciando entre lo que antes de su acción estaba sujeto a un régimen común, sino ordenando de modo peculiar situaciones jurídicamente diversas y relativas, en este caso, al tipo de actividad laboral desarrollada por los afiliados al sistema (trabajo por cuenta ajena o autónomo).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efecto, puede ser de útil consideración lo que dijo ya este Tribunal en su STC 148/1986, de 25 de noviembre (fundamento jurídico 6.º), observándose entonces que «cuando nos encontramos ante una previa diferenciación de regímenes jurídicos y una norma posterior establece una regulación diferente para supuestos de hecho comprendidos en cada uno de dichos distintos regímenes jurídicos» la cuestión puede resultar ajena al ámbito del principio de igualdad, ya que «No se puede exigir una igualdad de trato al legislador cuando trata de extraer consecuencias jurídicas diversas de situaciones que estaban originariamente en una situación jurídica distinta, siempre que el criterio adoptado por el legislador sea esa diferenciación de régimen jurídico; la finalidad perseguida por la norma diferenciadora sea  coherente con esa diferenciación de partida».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pasaje de la Sentencia que se acaba de citar puede servir, como se apuntó, para apreciar la dificultad de controvertir, en este caso, la misma articulación del sistema de la Seguridad en Régimen General y regimenes especiales. En todo caso, no discutida aquí de modo directo tal articulación, carece de sentido proponer el examen, a la luz del principio de igualdad, de las reglas que, por «generales», resultan inaplicables a quienes se hallan sujetos a regímenes específicos. Es obvio que el reproche no puede dirigirse ni a las normas ordenadoras del Régimen General establecedoras del beneficio del que aquí se trata (estas normas -habida cuenta de su ámbito de aplicación- no pueden decirse «diferenciadoras» por defecto de regulación) ni, de otra parte, a las disposiciones mismas que regulan, sin contemplar el incremento de pensión que aquí se reclamó, el Régimen Especial de los Trabajadores Autónomos, pues, de nuevo, el principio mismo de «especialidad» normativa que tales normas expresan impide su contraste con lo establecido en el Régimen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concurrencia de la causa de inadmisión del art. 50.2 b) hace innecesario examinar las restantes causas de inadmisión propuestas.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declarar inadmisible el recurso de amparo promovido por doña Aurelia Cruz Carrascosa.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diciembre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