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recurrente se interpuso la correspondiente demanda de amparo el día 22 de noviembre de 1995 ante este Tribunal. Dicha demanda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4 de septiembre de 1995. se dicta Providencia por el Juzgado de Primera Instancia núm. 1 de Chiclana de la Frontera, en la que se acuerda que en las actuaciones de juicio del art. 131 de la Ley Hipotecaria, núm. 402/92, sustanciadas ante dicho órgano judicial, se proceda a la toma de posesión a favor del adjudicatario de la finca que le ha sido adjudicada, en este caso el «Banco Bilbao Vizcaya S. A.». No obstante, la ahora recurrente en amparo ostenta la cualidad de arrendataria de la finca adjudicada, cualidad que en este caso le viene atribuida en virtud de la subrogación producida el día 1 de febrero de 1994, en los derechos y obligaciones arrendaticias del arrendatario originario don Luis Morales García, que en fecha 13 de abril de 1992, había suscrito el meritado contrato con la entonces propietaria, «Duffystock Limited», como propietaria del total del accionariado de «El Plantel de Benalup S. A.», sociedad propietaria de la finca adjudicada.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virtud de la Providencia dictada, se acordó entregar la posesión de la finca arrendada a la nueva adjudicataria, así como el lanzamiento sin previa audiencia del arrendatario, de acuerdo con lo actuado en el citado procedimiento del art. 131 de la Ley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se solicita la suspensión del acto impugnado, y para el caso de haberse ya retirado la posesión a la solicitante, la inmediata reposición en su situación anterior de arrendataria y poseedora al objeto de no causar innecesarios perjuicios a la misma, que implicarían la pérdida de la cosecha, ya que ello no supondría en modo alguno perjudicar los derechos del legítimo propietario adjudicatario de la finca en cuestión. Fundamenta el recurrente su petición a los efectos del restablecimiento de su derecho a la tutela judicial reconocido en el art. 24.1 de nuestra Norma Fundamental, derecho que ha sido presuntamente vulnerado, según alega el solicitante, al no haber sido oído en dicho procedimiento judicial, ya que la única noticia del mismo, ha sido la notificación de la indicada Providencia, en virtud de la cual se ordena la entrega de la posesión, a un determinado número de días vista, habiéndosele causado por ello, evidente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27 de mayo de 1996, a tenor de lo dispuesto en el art. 56 LOTC, la Sección acordó conceder un plazo común de tres días al Ministerio Fiscal y al solicitante de amparo, para que dentro de dicho término alegaran lo que estimaren conveniente con relación a la petición de suspensión manifestada.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presentado en el Registro del mismo el día 28 de mayo, estima que procede la suspensión solicitada porque de otro modo se produciría la ejecución de la resolución objeto del presente recurso, suponiendo la efectiva pérdida de la posesión por la recurrente, posesión a la que presuntamente tiene derecho en virtud del contrato de arrendamiento del que la misma es titular a título de arrendataria, causándole un evidente perjuicio derivado de la imposibilidad de la recolección que derivaría en un considerable detrimento de carácter económico para la misma, según queda acreditado en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solicitante de amparo reiteró los argumentos manifestados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Este Tribunal ha venido manteniendo, en aplicación de la anterior disposición que cuando el recurso se dirige contra resoluciones judiciales, aquel interés general consiste precisamente en su ejecución, por lo que, en tales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en efecto. que la ejecución de las mismas no causa ningún perjuicio irreparable, puesto que su reparación ulterior, en caso de ser estimado el recurso de amparo, no será dificultosa.  Ahora bien, también tiene declarado este Tribunal que en aquellos supuestos en que el pago acarrea perjuicios patrimoniales de carácter irreparable o difícilmente reparable, de tal manera que los fines del recurso de amparo quedaban comprometidos, por excepción, es procedente adoptar las medidas cautelares que eviten tal consecuencia. Así ocurre entre otros supuestos cuando se lleva a cabo la transmisión irrecuperable de un bien determinado (AATC 565/1986 y 52/19X9,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recurso la ejecución que se pretende suspender se ha concretado en la resolución del Juzgado de Primera Instancia de Chiclana de la Frontera que ordena la entrega de la posesión de la finca adjudicada por parte del arrendatario a la sociedad adjudicataria, con los consiguientes perjuicios derivados de la citada pérdida de la posesión, así como de los bienes objeto de la recolección, por ello, la aplicación de la doctrina de este Tribunal ya expuesta, sobre suspensión de las resoluciones impugnadas en amparo, lleva a la consecuencia de estimar procedente dicha suspensión, para evitar la pérdida de la posesión a la que en virtud del contrato la recurrente tiene derecho, así como el detrimento económico que la misma llevaría aparejado en el supuesto de que no se procediese a la recolección de los frutos propios de dicha finca.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lo expuesto, la Sala acuerda suspender la ejecución ordenada en virtud de la providencia de 4 de septiembre de 1995, dictada en los autos núm. 235/95, de juicio del art. 131 de la Ley Hipotecaria, seguidos ante el Juzgado de Primera Instancia núm. 1 de Chiclana de la Frontera, hasta que recaiga resolución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