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Audiencia Provincial de Oviedo de 11 de abril de 2001 exclusivamente en lo relativo a la condena al recurrente a la pena de privación del permiso de conducir durante un año.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mayo de 2001, el Procurador de los Tribunales don Victorio Venturini Medina interpuso, en nombre de don Miguel Arango Arias, recurso de amparo contra la Sentencia de la Audiencia Provincial de Oviedo de 11 de abril de 2001, que, revocando la Sentencia absolutoria del Juzgado de lo Penal núm. 2 de Oviedo de 25 de enero de 2001, condenó al recurrente como autor de un delito de conducción bajo el efecto de bebidas alcohólicas del art. 379 CP, a las penas de tres meses multa y un año de privación del carné de conducir, así como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presunción de inocencia (art. 24.2 CE) debido a la invalidez de las pruebas en las que se sustentó la condena; pues, de un lado, el etilómetro con el que se efectuó la prueba de ingestión de alcohol carecía de certificado, y, de otro, las declaraciones de los policías sobre los efectos de la ingestión del alcohol en la conducción no se ratificaron en presencia judicial durante la instrucción, ni en 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25 de febrero de 2002, la Sección Segunda acordó admitir a trámite la demanda de amparo. Por providencia de 27 de febrero de 2002, la Sección Segunda acordó formar la pieza de suspensión y, de conformidad con lo prevenido en el art. 56 LOTC, conceder un plazo común de tres días al Ministerio Fiscal y a la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7 de marzo de 2002, la representación del demandante de amparo alegó los especiales perjuicios que le ocasionaría la ejecución de la pena de privación del permiso de conducir, dado que es médico de profesión, trabaja en el Hospital de Cangas del Narcea y vive en Oviedo, existiendo una distancia entre ambos de unos 100 Km., y comenzando su jornada laboral a diferentes horas según los días. Además de que tiene que desplazarse por la zona para atender los avisos. De otra parte, sostiene que la suspensión de la ejecución de la resolución no produciría perturbación de los intereses generales, así como que procede la suspensión cautelar cuando se advierte como en el caso una apariencia de buen Derecho -Auto del Tribunal Supremo de 20 de diciembre de 1990, Sentencia del Tribunal de Justicia de Luxemburgo de 19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8 de marzo de 2002, el Ministerio Fiscal, de conformidad con la doctrina constitucional aplicable se opuso a la suspensión solicitada. En lo relativo a los pronunciamientos de carácter patrimonial -pena de multa y condena en costas-, dado que serían fácilmente reparables, sin que su cuantía se considere excesiva. En cuanto a la pena de privación del permiso de conducir, entiende el Ministerio Fiscal que si bien el Tribunal Constitucional acordaba siempre la suspensión, desde el ATC 30/1999, se ha venido negando la suspensión si el actor no demuestra que en el caso concreto la no suspensión le ocasionaría perjuicios de especial consideración, por ejemplo, dada su condición de conductor profesional (ATC 53/1999), u otras circunstancias laborales que, más allá de su mera alegación, deben ser acreditadas por él (ATC 83/2001, de 23 de abril, FJ 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y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dichos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por todos). Esta doctrina es igualmente aplicable a la condena en costas procesales, pues al entrañar un pago en dinero, su ejecución no provoca ningún perjuicio que pueda hacer inútil el recurso de amparo (AATC 244/1991, 2092/1992, 267/1995, 117/1999 entre otros muchos). Por consiguiente, en atención al carácter excepcional de la suspensión (art. 56 LOTC) ha de denegarse la suspensión de las resoluciones impugnadas en relación con la condena en responsabilidad civil y en costas procesales.</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(ATC 136/1999); y, de otra parte, ni la entidad de la multa, ni, por consiguiente, la de la responsabilidad subsidiaria avalan dicha suspensión (ATC 245/2001).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privación del permiso de conducir vehículos de motor, este Tribunal, desde el ATC 30/1999 sólo ha acordado su suspensión en la medida en que el demandante de amparo haya alegado y acreditado perjuicios de especial consideración en el caso concreto, debido a la condición de conductor profesional (ATC 242/2000) o a la distancia entre la residencia y el lugar de trabajo y la inexistencia de transporte público para efectuar dicho desplazamiento (ATC 53/1999); negándose la suspensión ante la falta de alegación y acreditación de dichos perjuicios (AATC 30/1999, 83/2001, 182/2001).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alega el recurrente no sólo la distancia que media entre su residencia y el lugar de trabajo (100 Km.), sino también dos circunstancias unidas a su condición profesional de médico: la asimetría del horario de inicio de su jornada laboral y la necesidad de efectuar continuos desplazamientos para atender a los avisos de los enfermos. Por consiguiente, alega los especiales perjuicios que se ocasionarían si la privación del permiso de conducir se ejecutara, siendo éstos distintos y más graves que los producidos a cualquier ciudadano. En atención a ello, se ha de acordar la suspensión solicitada exclusivamente en lo relativo a este extremo, pues, ciertamente, su denegación ocasionaría perjuicios de especial consideración, sin que paralelamente se observe perturbación de los intereses generales y derechos de terceros debidos a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Audiencia Provincial de Oviedo de 11 de abril de 2001 exclusivamente en lo relativo a la condena al recurrente a la pena de privación del permiso de conducir durante un año.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