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Sentencia de la Sala de lo Penal del Tribunal Supremo de 22 de marzo de 2001 y la Sentencia de la Sección Decimoquinta de la Audiencia Provincial de Madrid de 26 de mayo de 1999 exclusivamente en lo relativo a las penas impuestas a don Juan</w:t>
            </w:r>
          </w:p>
          <w:p w:rsidRPr="00D13423" w:rsidR="00AD51A7" w:rsidRDefault="00AD51A7">
            <w:pPr>
              <w:rPr/>
            </w:pPr>
            <w:r w:rsidRPr="&lt;w:rPr xmlns:w=&quot;http://schemas.openxmlformats.org/wordprocessingml/2006/main&quot;&gt;&lt;w:color w:val=&quot;800080&quot; /&gt;&lt;w:szCs w:val=&quot;24&quot; /&gt;&lt;/w:rPr&gt;">
              <w:rPr/>
              <w:t xml:space="preserve">Miguel Nieto Rodríguez de arresto mayor de cuatro meses y un día y a la accesoria de privación del derecho de sufragio.</w:t>
            </w:r>
          </w:p>
          <w:p w:rsidRPr="00D13423" w:rsidR="00AD51A7" w:rsidRDefault="00AD51A7">
            <w:pPr>
              <w:rPr/>
            </w:pPr>
            <w:r w:rsidRPr="&lt;w:rPr xmlns:w=&quot;http://schemas.openxmlformats.org/wordprocessingml/2006/main&quot;&gt;&lt;w:color w:val=&quot;800080&quot; /&gt;&lt;w:szCs w:val=&quot;24&quot; /&gt;&lt;/w:rPr&gt;">
              <w:rPr/>
              <w:t xml:space="preserve">Denegar la suspensión respecto del resto de los pronunciamientos de las citadas resoluciones relativos al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abril de 2001 el Procurador de los Tribunales don José Luis Bragas Fernández, en nombre y representación de don Juan Miguel Nieto Rodríguez, interpuso recurso de amparo contra la Sentencia de la SaTribunal Supremo de 22 de marzo de 2001 y contra la Sentencia de la Sección Decimoquinta de la Audiencia Provincial de Madrid de 26 de mayo de 2001 que le condenó, como autor de un delito continuado de interceptación de las comunicaciones telefónicas del antiguo art. 192 bis del CP (texto refundido 1973), en la versión introducida por la Ley Orgánica 7/1984, en relación con el art. 69 bis del mismo CP, a las penas de cuatro meses y un día de arresto mayor, accesoria de privación del derecho de sufragio durante la condena e inhabilitación absoluta durante seis años y un día, al pago de las costas procesales y a indemnizar solidariamente con los otros condenados en un millón de pesetas a cada uno de los tres perjudicados.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 los derechos fundamentales al juez imparcial (art. 24.2 CE), al proceso con todas las garantías (art. 24.2 CE), a la presunción de inocencia (art. 24.2 CE) y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julio de 2002 la Sala Segunda acordó admitir a trámite la demanda de amparo, abrir pieza separada de suspensión y, a tenor de lo previsto en el art. 56 LOTC, conceder plazo común de tres días al Ministerio Público y al solicitante de amparo para que, dentro de dicho término, pudiesen alegar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5. En escrito registrado en este Tribunal el 25 de julio de 2002 la representación del recurrente, evacuando alegaciones, reiteró la petición de suspensión y sus fundamentos, y puso en conocimiento del Tribunal que la Sección Decimoquinta de la Audiencia Provincial de Madrid, por providencia de 17 de mayo de 2001, había acordado suspender la ejecución de las penas impuestas, privativas de libertad y de derechos hasta que el indulto solicitado se tramitara. </w:t>
      </w:r>
    </w:p>
    <w:p w:rsidRPr="00C21FFE" w:rsidR="00AD51A7" w:rsidRDefault="00AD51A7">
      <w:pPr>
        <w:rPr/>
      </w:pPr>
      <w:r w:rsidRPr="&lt;w:rPr xmlns:w=&quot;http://schemas.openxmlformats.org/wordprocessingml/2006/main&quot;&gt;&lt;w:lang w:val=&quot;es-ES_tradnl&quot; /&gt;&lt;/w:rPr&gt;">
        <w:rPr/>
        <w:t xml:space="preserve">6. El Fiscal, en escrito registrado el 30 de julio de 2002, interesó, en aplicación de la jurisprudencia constitucional, se acordase la suspensión de la pena privativa de libertad (dada su corta duración), de la accesoria de privación del derecho de sufragio (al seguir la suerte de la principal), y la denegación de la suspensión de la resolución en lo atinente a la pena de inhabilitación absoluta (en la medida en que, por su gravedad y por haber sido impuesta por realizar delitos en el ejercicio de funciones públicas, su suspensión provocaría una grave perturbación de los intereses generales al implicar la reincorporación del solicitante al ejercicio de la función pública) y a los pronunciamientos de carácter patrimonial (en cuanto que los perjuicios que se ocasionaran serían reparables en su integridad).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 De modo que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(por todos, ATC 22/2002).</w:t>
      </w:r>
    </w:p>
    <w:p w:rsidRPr="00C21FFE" w:rsidR="00AD51A7" w:rsidRDefault="00AD51A7">
      <w:pPr>
        <w:rPr/>
      </w:pPr>
      <w:r w:rsidRPr="&lt;w:rPr xmlns:w=&quot;http://schemas.openxmlformats.org/wordprocessingml/2006/main&quot;&gt;&lt;w:lang w:val=&quot;es-ES_tradnl&quot; /&gt;&lt;/w:rPr&gt;">
        <w:rPr/>
        <w:t xml:space="preserve">En el presente caso el recurrente solicita que se suspenda la ejecución de la Sentencia, en virtud de la cual, como consta en los antecedentes, resultó condenado a una pena privativa de libertad de cuatro meses y un día, a la accesoria de privación del derecho de sufragio, a seis años y un día de inhabilitación absoluta, a pagar las costas y a indemnizar solidariamente con los otros condenados en un millón de pesetas a cada uno de los tres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por lo que no se suspenderán salvo que el demandante acredite suficientemente la irreparabilidad que para sus derechos fundamentales pudiera tener la ejecución del fallo por privar al amparo de su finalidad (AATC 51/1989, 136/1996, 310/1996, 420/1997 y 13/1999, entre otros muchos). Por perjuicio irreparable hemos entendido aquél que provoque que el hipotético restablecimiento del recurrente en el derecho constitucional vulnerado tuviera que resultar tardío y, consiguientemente, no condujera 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y en las privativas o limitativas de ciertos derechos.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289/2001).</w:t>
      </w:r>
    </w:p>
    <w:p w:rsidRPr="00C21FFE" w:rsidR="00AD51A7" w:rsidRDefault="00AD51A7">
      <w:pPr>
        <w:rPr/>
      </w:pPr>
      <w:r w:rsidRPr="&lt;w:rPr xmlns:w=&quot;http://schemas.openxmlformats.org/wordprocessingml/2006/main&quot;&gt;&lt;w:lang w:val=&quot;es-ES_tradnl&quot; /&gt;&lt;/w:rPr&gt;">
        <w:rPr/>
        <w:t xml:space="preserve">Por último, en cuanto a la pena de inhabilitación absoluta, este Tribunal tiene declarado que "permite un modo de reparación del perjuicio sufrido, cuando afecta a funcionarios públicos, a través de su reposición en el cargo anterior y demás efectos resarcitorios", si bien la restricción de los derechos derivados del art. 23 CE que comporta nunca podrá ser completa (AATC 140/1998; 264/1998). No obstante, al igual que respecto de las penas privativas de libertad, este dato no es el único a ponderar para resolver la solicitud de suspensión, sino que, a los efectos de valorar la presencia de una perturbación grave para los intereses generales, ha de tenerse en cuenta el carácter de pena principal con el que se impone, su duración, en cuanto expresiva del desvalor jurídico del comportamiento contemplado (AATC 265/1998; 267/1998; 269/1998), y que los hechos cuya comisión da lugar a su imposición requieren "el ejercicio de funciones públicas, susceptibles de socavar, por tanto, la confianza de los ciudadanos en los funcionarios precisamente encargados de velar por su seguridad y libertad" (AATC 140/1998; 264/1998; 265/1998). A ello se añade el hecho de que una suspensión de la pena de inhabilitación absoluta puede implicar la reincorporación del condenado al ejercicio de la función pública, siendo por consiguiente de temer "el riesgo de que se provoque una grave perturbación de los intereses generales" (AATC 140/1998; 264/1998; 265/1998).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de la anterior razón de decidir al caso, y sin tener en cuenta la suspensión acordada por los órganos judiciales, dado que sus efectos no coinciden con los del eventual acuerdo de suspensión de la resolución contra la que se recurre en amparo (ATC 83/2000), se ha de acceder a la suspensión de la pena privativa de libertad, pues en atención a su escasa duración no es de temer perturbación grave de los intereses generales, mientras que el amparo, en caso de estimarse la demanda, perdería su finalidad. Igual suerte ha de correr la pena accesoria impuesta de privación del derecho de sufragio, pues, como este Tribunal tiene declarado, las penas accesorias siguen la suerte de la principal (entre muchos AATC 144/1984, 267/1995, 301/1995, 7/1996, 152/1996, 87/1997, 286/1997, 182/1998, 271/1998, 83/2000, 22/2002).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los pronunciamientos de carácter económico (costas e indemnización por responsabilidad civil derivada del delito), ha de seguirse el criterio general de la no suspensión, dado que su ejecución no ocasiona en principio un daño irreparable, atendida su naturaleza y el derecho afectado.</w:t>
      </w:r>
    </w:p>
    <w:p w:rsidRPr="00C21FFE" w:rsidR="00AD51A7" w:rsidRDefault="00AD51A7">
      <w:pPr>
        <w:rPr/>
      </w:pPr>
      <w:r w:rsidRPr="&lt;w:rPr xmlns:w=&quot;http://schemas.openxmlformats.org/wordprocessingml/2006/main&quot;&gt;&lt;w:lang w:val=&quot;es-ES_tradnl&quot; /&gt;&lt;/w:rPr&gt;">
        <w:rPr/>
        <w:t xml:space="preserve">Idéntica declaración ha de realizarse respecto de la pena de inhabilitación absoluta de seis años y un día, pues, ciertamente, su duración y la necesaria conexión entre la comisión del delito ejerciendo funciones públicas y su imposición llevan a considerar que su suspensión produciría una perturbación grave de los intereses generales, dado que, en atención a la previsible reincorporación del recurrente a la función pública, se socavaría la confianza legítima de los ciudadanos en el correcto ejercicio de ésta en salvaguarda de sus derechos e intereses (AATC 140/1998 y, como más reciente, 84/2002).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Sentencia de la Sala de lo Penal del Tribunal Supremo de 22 de marzo de 2001 y la Sentencia de la Sección Decimoquinta de la Audiencia Provincial de Madrid de 26 de mayo de 1999 exclusivamente en lo relativo a las penas impuestas a don Juan</w:t>
      </w:r>
    </w:p>
    <w:p w:rsidRPr="" w:rsidR="00AD51A7" w:rsidRDefault="00AD51A7">
      <w:pPr>
        <w:rPr/>
      </w:pPr>
      <w:r w:rsidRPr="&lt;w:rPr xmlns:w=&quot;http://schemas.openxmlformats.org/wordprocessingml/2006/main&quot;&gt;&lt;w:szCs w:val=&quot;24&quot; /&gt;&lt;/w:rPr&gt;">
        <w:rPr/>
        <w:t xml:space="preserve">Miguel Nieto Rodríguez de arresto mayor de cuatro meses y un día y a la accesoria de privación del derecho de sufragio.</w:t>
      </w:r>
    </w:p>
    <w:p w:rsidRPr="" w:rsidR="00AD51A7" w:rsidRDefault="00AD51A7">
      <w:pPr>
        <w:rPr/>
      </w:pPr>
      <w:r w:rsidRPr="&lt;w:rPr xmlns:w=&quot;http://schemas.openxmlformats.org/wordprocessingml/2006/main&quot;&gt;&lt;w:szCs w:val=&quot;24&quot; /&gt;&lt;/w:rPr&gt;">
        <w:rPr/>
        <w:t xml:space="preserve">Denegar la suspensión respecto del resto de los pronunciamientos de las citadas resoluciones relativos al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