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diciembre de 2002 tuvo entrada en el Registro General del Tribunal Constitucional un escrito del Juzgado de lo Social núm. 2 de León, al que se acompaña, junto al testimonio del correspondiente procedimiento (autos núm. 502-2002), el Auto del referido Juzgado de 18 de noviembre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Isabel Blanco Bragado y seis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reconociese su derecho a que en lo sucesivo las cuotas colegiales sean sufragadas por la Administración sanitaria para la que prestan servicios y se condene a ésta a devolver a las demandantes la cantidad de 526,13 € (salvo una de las actoras, que reclama 432,97 €),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502-2002), se celebró el juicio con fecha 3 de octubre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6 de noviembre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8 de noviembre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presentó escrito de alegaciones el 11 de noviembre de 2002 mostrando su conformidad con los argumentos expuestos por el Juzgado en sobre la procedencia de plantear la cuestión de inconstitucionalidad. No constan alegaciones de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La representación de los demandantes presentó su escrito de alegaciones el 18 de noviembre de 2002, manifestando que la decisión del proceso no depende de la validez de la norma cuestionada, pues lo que se discute no es la obligatoriedad de la colegiación, sino el derecho de las reclamantes a que se les reintegren las cuotas colegiales abonadas, como se hace con otros colectivos que prestan sus servicios para la Administración, en aras al principio de no discriminación consagrado en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21 de noviembre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17 de octubre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2003,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23 de enero de 2003, interesando la inadmisión de la cuestión de inconstitucionalidad. Recuerda el Fiscal General del Estado que la presente cuestión guarda absoluta identidad con las registradas en este Tribunal con los números 3609- 2002, 3699-2002, 3745-2002, 3933-2002, 3934-2002, 4152-2002, 4153-2002, 4190-2002 y 4830-2002, planteadas por el mismo Juzgado de lo Social en el seno de otros tantos procesos que se siguen ante aquél e inadmitidas todas ellas por Autos del Pleno del Tribunal Constitucional de 26 de noviembre y 10 de diciembre de 2002, tanto por defecto en el cumplimiento del trámite de audiencia, como por resultar notoriamente infundada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149.1.13ª y 18ª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21 de noviembre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por resultar notoriamente infundada, al igual que este Tribunal ha declarado mediante Autos de 26 de noviembre y 10 de diciembre de 2002 respecto de las cuestiones de inconstitucionalidad registradas en este Tribunal con los números 3609-2002, 3699-2002, 3745- 2002, 3933-2002, 3934-2002, 4152-2002, 4153-2002, 4190-2002 y 4830-2002, planteadas por el mismo Juzgado de lo Social y que guardan absoluta identidad con la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este Tribunal ha inadmitido a trámite las cuestiones de inconstitucionalidad a que hace referencia el Fiscal General del Estado, mediante AATC 237/2002, 238/2002, 239/2002, 240/2002, 241/2002, 242/2002, 243/2002 y 245/2002, de 26 de noviembre todos ellos, y 266/2002, de 10 de diciembre, por lo que la presente cuestión, idéntica a aquéllas, ha de recibir la misma respuesta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igual que en las cuestiones antes referidas, en el presente caso el requisito de la previa audiencia de las partes acerca de la pertinencia de plantear la cuestión de inconstitucionalidad (art. 35.2 LOTC) no ha sido cumplido correctamente. En efecto, la providencia de 6 de noviembre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Centrado así el objeto de la cuestión en la supuesta inconstitucionalidad del art. 16.2 de la Ley 8/1997, de 8 de julio, de colegios profesionales de Castilla y León, por presunta vulneración del art. 149.1, 13 y 18 CE, baste recordar, como hemos señalado respecto del mismo precepto legal en los citados AATC 237/2002, 238/2002, 239/2002, 240/2002, 241/2002, 242/2002, 243/2002, 245/2002 y 266/2002, FJ 4 de todos ellos,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