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2972-2003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por Agrupación electoral Lehia.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rechazada.</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por Agrupación electoral Lehia.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la Magistrada doña María Emilia Casas Baamonde al Auto recaído en el recurso de amparo núm. 2972-2003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recusación del Excmo. Sr. Magistrado don Manuel Jiménez de Parga y Cabrera, Presidente del Tribunal Constitucional, formulada con base en la causa recogida en el núm. 9 del art. 219 LOPJ, manifiesto mi discrepancia frente a la resolución</w:t>
      </w:r>
    </w:p>
    <w:p w:rsidRPr="00C36767" w:rsidR="00AD51A7" w:rsidRDefault="00AD51A7">
      <w:pPr>
        <w:rPr/>
      </w:pPr>
      <w:r w:rsidRPr="&lt;w:rPr xmlns:w=&quot;http://schemas.openxmlformats.org/wordprocessingml/2006/main&quot;&gt;&lt;w:lang w:val=&quot;es-ES_tradnl&quot; /&gt;&lt;/w:rPr&gt;">
        <w:rPr/>
        <w:t xml:space="preserve">de la Sala de inadmisión a limine por las razones expuestas en el Voto particular que junto a otros Magistrados formulé en el ATC 61/2003, de 19 de febrero.</w:t>
      </w:r>
    </w:p>
    <w:p w:rsidRPr="00C36767" w:rsidR="00AD51A7" w:rsidRDefault="00AD51A7">
      <w:pPr>
        <w:rPr/>
      </w:pPr>
      <w:r w:rsidRPr="&lt;w:rPr xmlns:w=&quot;http://schemas.openxmlformats.org/wordprocessingml/2006/main&quot;&gt;&lt;w:lang w:val=&quot;es-ES_tradnl&quot; /&gt;&lt;/w:rPr&gt;">
        <w:rPr/>
        <w:t xml:space="preserve">En Madrid, siete de mayo de dos mil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