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253</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6094-2003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6094-2003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30 de octubre de 2002, el Procurador de los Tribunales don Ramón Rodríguez Nogueira, en nombre y representación de doña Rosa María Grau Pellicer, interpuso recurso de amparo contra la Sentencia dictada por la Sección Novena de la Audiencia Provincial de Valencia el 2 de octubre de 2002 por la que, estimando el recurso de apelación interpuesto frente a la Sentencia de 8 de enero de 2002 del Juzgado de Primera Instancia núm. 5 de Gandía, se la condena al pago de las cuotas colegiales demandadas ante la jurisdicción civil por el Colegio de Secretarios, Interventores y Tesoreros de la Administración local con habilitación de carácter nacional de la provincia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El Colegio de Secretarios, Interventores y Tesoreros de Administración local de Valencia planteó demanda contra la Sra. Grau Pellicer, Secretaria de Administración local con habilitación de carácter nacional, en reclamación de 150.000 pesetas en concepto de cuotas colegiales no abonadas correspondientes al período 1996-2000. </w:t>
      </w:r>
    </w:p>
    <w:p w:rsidRPr="00C21FFE" w:rsidR="00AD51A7" w:rsidRDefault="00AD51A7">
      <w:pPr>
        <w:rPr/>
      </w:pPr>
      <w:r w:rsidRPr="&lt;w:rPr xmlns:w=&quot;http://schemas.openxmlformats.org/wordprocessingml/2006/main&quot;&gt;&lt;w:lang w:val=&quot;es-ES_tradnl&quot; /&gt;&lt;/w:rPr&gt;">
        <w:rPr/>
        <w:t xml:space="preserve">b) La Sra. Grau Pellicer se opuso a la demanda alegando sustancialmente la falta de legitimidad constitucional de la obligatoriedad de la pertenencia al Colegio, la cual fue desestimada por Sentencia dictada el 8 de enero de 2002 por el Juzgado de Primera Instancia núm. 5 de Gandía. </w:t>
      </w:r>
    </w:p>
    <w:p w:rsidRPr="00C21FFE" w:rsidR="00AD51A7" w:rsidRDefault="00AD51A7">
      <w:pPr>
        <w:rPr/>
      </w:pPr>
      <w:r w:rsidRPr="&lt;w:rPr xmlns:w=&quot;http://schemas.openxmlformats.org/wordprocessingml/2006/main&quot;&gt;&lt;w:lang w:val=&quot;es-ES_tradnl&quot; /&gt;&lt;/w:rPr&gt;">
        <w:rPr/>
        <w:t xml:space="preserve">c) Planteado recurso de apelación por el Colegio de Secretarios, Interventores y Tesoreros de Administración local de Valencia contra la referida Sentencia, el mismo fue estimado en la dictada el 2 de octubre de 2002 por la Sección Novena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alega en su demanda de amparo que la resolución judicial combatida vulnera, en primer lugar, su derecho a la libertad de asociación, en su vertiente negativa o derecho a no asociarse, que forma parte del contenido del derecho fundamental recogido en el art. 22 CE, ya que la Audiencia no ha entrado a examinar la constitucionalidad de la colegiación obligatoria para el ejercicio de la profesión de Secretario de la Administración Local con habilitación de carácter nacional; colegiación que, en tal forma obligatoria, vulnera, en opinión del demandante de amparo, el art. 22 CE, porque el Colegio de Secretarios, Interventores y Tesoreros de la Administración local con habilitación de carácter nacional no ejerce funciones que justifiquen la excepcionalidad de tal medida ya que la ordenación representación y defensa de la profesión y el ejercicio de la potestad disciplinaria las lleva a cabo la Administración pública por su condición de funcionarios. Además no existe norma legal habilitante de la creación del Colegio. Derogado el régimen jurídico de los funcionarios locales con habilitación de carácter nacional contenido en el Decreto de 30 de mayo de 1952, desapareció la obligatoriedad de la colegiación, que tampoco puede encontrar amparo en la Ley de colegios profesionales de 1974. </w:t>
      </w:r>
    </w:p>
    <w:p w:rsidRPr="00C21FFE" w:rsidR="00AD51A7" w:rsidRDefault="00AD51A7">
      <w:pPr>
        <w:rPr/>
      </w:pPr>
      <w:r w:rsidRPr="&lt;w:rPr xmlns:w=&quot;http://schemas.openxmlformats.org/wordprocessingml/2006/main&quot;&gt;&lt;w:lang w:val=&quot;es-ES_tradnl&quot; /&gt;&lt;/w:rPr&gt;">
        <w:rPr/>
        <w:t xml:space="preserve">En segundo lugar se considera que la Sentencia de la Audiencia vulnera el derecho a la igualdad del art 14 CE porque la exigencia de tal colegiación no es de aplicación en otros lugares del territorio español, como en Aragón, en Canarias o en Galicia, en donde su legislación autonómica (art. 18 de la Ley 12/1998, de 22 de diciembre, de medidas tributarias, financieras y administrativas de la Presidencia de la Diputación General de Aragón, art. 9. 3 de la Ley 10/1990, sobre Colegios profesionales de la Comunidad de Canarias y art. 3 de la Ley 11/2001 de Colegios profesionales de Galicia) establece que los profesionales titulados que estén vinculados a las Administraciones Públicas no precisarán colegiarse para el ejercicio de tales profesiones al servicio de las Administración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"otrosí" del anterior escrito el recurrente solicitó la suspensión de los efectos ejecutivos de la Sentencia de la Audiencia Provincial de Valencia ya citada porque de esta medida no se derivan perjuicios para el interés general o para los derechos del Colegio; perjuicios que, en caso de ejecución, se ocasionarían a la demandante de amparo y que, además, serían de carácter irreparable porque, al denunciarse en el recurso la vulneración del derecho a la libertad de asociarse en su vertiente negativa, si es obligada a pagar las cuotas significaría que es obligada a permanecer afiliada al Colegio en contra de su voluntad.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providencias de 5 de junio de 2003, la Sección Primera de este Tribunal admitió a trámite la demanda y ordenó que se formase la presente pieza separada de suspensión, concediendo a la solicitante de amparo y al Ministerio Fiscal, conforme a lo dispuesto en el art. 56.1 LOTC, el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12 de junio de 2003 tuvo entrada en el registro de este Tribunal el escrito de alegaciones de la demandante de amparo. En él señaló la recurrente que la ejecución de la Sentencia mediante el pago de la cantidad dineraria implica per se una vulneración de los derechos fundamentales a la libertad de asociación y a la igualdad y no discriminación cuyo amparo se solicita, y que la no suspensión obligaría al abono de las cuotas colegiales que posteriormente habrían de ser devueltas, tras la cierta estimación de la demanda, a tenor de lo declarado por las recientes Sentencias dictadas por el Pleno y la Sala Primera de este Tribunal el 23 de abril de 2003 (STC 76/2003) y el 22 de mayo de 2003 (STC 96/2003) respectivamente, que estimaron sendos recursos de amparo interpuestos en casos idénticos al presente, en las que se declaró vulnerado el derecho de los recurrentes en amparo a la libertad de asociación (art. 22 CE) en su vertiente negativa, al reconocer la falta de obligatoriedad de la colegiación de los Secretarios, Interventores y Tesoreros de Administración local con habilitación de carácter nacional. Por lo que, dada la viabilidad de la demanda de amparo y la expectativa fundada de su estimación por la razón expuesta, suplica al Tribunal Constitucional que acuerde la suspensión de los efectos ejecutivos de la Sentencia de 2 de octubre de 2002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12 de junio de 2003 presentó su escrito de alegaciones el Ministerio Fiscal. En él expone que en el presente caso estamos ante un supuesto en el que considera plenamente aplicable la consolidada doctrina de este Tribunal de no admitir la suspensión de las resoluciones que permiten la restitución íntegra de lo ejecutado, como sucede con los pronunciamientos de efectos exclusivamente patrimoniales. Por todo ello, el Fiscal interesa que se deniegue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Constitución" .</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este Tribunal al pronunciarse no puede prejuzgar la cuestión principal del proceso de amparo, aun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entendido que sólo hay perjuicio irreparable cuando la ejecución prevista del acto recurrido provoque que el posterior y eventual restablecimiento del recurrente en el derecho constitucional vulnerado, en el supuesto de que el amparo sea otorgado, sea tardío e impida definitivamente que tal restauración sea efectiva.</w:t>
      </w:r>
    </w:p>
    <w:p w:rsidRPr="00C21FFE" w:rsidR="00AD51A7" w:rsidRDefault="00AD51A7">
      <w:pPr>
        <w:rPr/>
      </w:pPr>
      <w:r w:rsidRPr="&lt;w:rPr xmlns:w=&quot;http://schemas.openxmlformats.org/wordprocessingml/2006/main&quot;&gt;&lt;w:lang w:val=&quot;es-ES_tradnl&quot; /&gt;&lt;/w:rPr&gt;">
        <w:rPr/>
        <w:t xml:space="preserve">Y también, en general,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275/1990, 287/1997 y 185/1998,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el eventual éxito del amparo, que en esta fase del procedimiento no puede quedar prejuzgado, conllevaría el nacimiento de un derecho de la hoy demandante a que no le sean cobradas las cuotas que reclama el Colegio de Secretarios, Interventores y Tesoreros de Administración local con habilitación nacional de la provincia de Valencia. Lo que se pretende la recurrente con la suspensión de la ejecución de la Sentencia que la condenó al pago de dichas cuotas es aplazar el cumplimiento de esa obligación hasta que se resuelva el presente recurso de amparo, obligación cuya prestación consiste en la entrega de una determinada cantidad de dinero, por lo que estamos ante un conflicto entre el interés general inherente a la ejecución de una Sentencia, que consagra el art. 118 CE, por un lado, y, por otro, la pretensión de la demandante de amparo de no cumplir, dejando así de satisfacer una obligación de carácter pecuniario a cuyo pago le condena aquélla. Dado el carácter exclusivamente económico de la condena que dicha Sentencia contiene, el conflicto hay que resolverlo, como enseña la doctrina constitucional (ver AATC 159/2002; 169/2002; 227/2002, que resuelven peticiones de suspensión coincidentes con la presente), sacrificando el interés del recurrente, porque éste es perfectamente reparable en el caso de que se concediese el amparo que solicita, lo que hace que en el presente supuesto la causa que, conforme al art. 56.1 LOTC, justifica que pueda acordarse la suspensión de la ejecución de la resolución recurrida, esto es, que la misma hubiere de ocasionar un perjuicio que haría perder al amparo su finalidad, no tenga virtualidad ninguna.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