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2352-2002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2352-2002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de la Sección Primera de la Audiencia Provincial de Valencia de 13 de marzo de 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abril de 2002, la Procuradora de los Tribunales doña Josefina Ruiz Ferrán, interpuso, en nombre y representación de don Silvano Sauquillo Monsálvez, don José Sánchez Copete y la Mutua Valenciana Automovilista, recurso de amparo contra la Sentencia de 13 de marzo de 2002 de la Sección Primera de la Audiencia Provincial de Valencia en virtud de la cual el recurrente Sr. Sauquillo Monsálvez resultó condenado como autor de una falta de lesiones imprudentes del art. 621.3 CP a la pena de treinta días de multa con cuota diaria de dos mil pesetas y en responsabilidad civil, dejando la fijación de la cuantía para la ejecución de Sentencia, y a los recurrentes don José Sánchez Copete y la Mutua Valenciana Automovilista como responsables civiles subsidiarios.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alegan la vulneración del derecho a la presunción de inocencia (art. 24.2 CE) y de los derechos a la tutela judicial efectiva sin indefensión y proceso con todas las garantías (art.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julio de 2003, la Sección Segunda de este Tribunal acordó admitir a trámite la demanda de amparo, y, de conformidad con lo previsto en el art. 56 LOTC, abrir pieza separada de suspensión y conceder un plazo común de tres días, al Ministerio Fiscal y a los demandantes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31 de julio de 2003, el Ministerio Fiscal, interesó la denegación de la suspensión de la resolución en aplicación de la doctrina jurisprudencial conforme a la cual los perjuicios ocasionados eventualmente por la ejecución de las resoluciones judiciales que contienen condenas de carácter patrimonial no son irreparables, y solo se procede a la suspensión si se acreditan especiales perjuicios, cosa que no se efectúa en la demanda en relación con la multa impuesta al condenado penalmente y no se puede determinar en relación con la condena a la indemnización dado que su cuantía no ha sido determinada.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11 de agosto 2003, la representación de los demandantes de amparo ratificó la pretensión de suspensión y la fundamentación efectuada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y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la pena de multa de treinta días con cuota de dos mil pesetas diarias, la correspondiente responsabilidad personal subsidiaria para caso de impago de la multa, y la condena en responsabilidad civil y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275/1990; y 117/1999, por todos). Esta doctrina es igualmente aplicable a la condena en costas procesales, pues al entrañar un pago en dinero, su ejecución no provoca ningún perjuicio que pueda hacer inútil el recurso de amparo (AATC 244/1991 y 2092/1992, 267/1995, 117/1999 entre otros muchos).</w:t>
      </w:r>
    </w:p>
    <w:p w:rsidRPr="00C21FFE" w:rsidR="00AD51A7" w:rsidRDefault="00AD51A7">
      <w:pPr>
        <w:rPr/>
      </w:pPr>
      <w:r w:rsidRPr="&lt;w:rPr xmlns:w=&quot;http://schemas.openxmlformats.org/wordprocessingml/2006/main&quot;&gt;&lt;w:lang w:val=&quot;es-ES_tradnl&quot; /&gt;&lt;/w:rPr&gt;">
        <w:rPr/>
        <w:t xml:space="preserve">Por consiguiente, en atención al carácter excepcional de la suspensión (art. 56 LOTC) ha de denegarse la suspensión de las resoluciones impugnadas en relación con la pena de multa impuesta, la indemnización en concepto de responsabilidad civil y la condena en costas procesales. Como advierte el Ministerio Fiscal, ni se acredita ni se observa un especial perjuicio en la ejecución de la pena de multa, ni puede examinarse respecto de la responsabilidad civil al haberse dejado sin determinar su cuantía para la ejecución de sentencia. No obstante, ha de señalarse que, de conformidad con el art. 57 LOTC la suspensión o su denegación puede ser modificada durante el curso del juicio de amparo constitucional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Tampoco ha de suspenderse en este momento la responsabilidad personal subsidiaria para el caso de impago de la multa, dado que se trata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(ATC 136/1999).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de la Sección Primera de la Audiencia Provincial de Valencia de 13 de marzo de 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