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de la Sección Primera de la Audiencia Provincial de Lleida de 4 de octubre de 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enero de 2003, don Deogracias Talaverano Rico, abogado, interpuso en su propio nombre, recurso de amparo contra la Sentencia de 20 de octubre de 2000 de la Sección Primera de la Audiencia Provincial de Lleida que condenó en apelación al recurrente, como autor de un delito de prevaricación de abogado (art. 360 CP de 1973), a las penas de dos años de suspensión de ejercicio de la profesión de abogado, multa de trescientas mil pesetas, con arresto sustitutorio de veinte días, a indemnizar a don Fernando Diez Piera y doña Antonia Torres Gurillo en la cantidad de 2.213.671 pesetas, asimismo fue condenado al pago de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al proceso con todas las garantías (art. 24.2 CE) en relación con el art. 6.1 CEDH, por infracción de las garantías de contradicción e inmediación.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septiembre de 2003,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6 de octubre de 2003, el Ministerio Fiscal, interesó la denegación de la suspensión de la resolución en lo atinente a los pronunciamientos condenatorios de carácter patrimonial, por cuanto los perjuicios no serían irreparables, e instó asimismo la denegación de la suspensión de la pena privativa de derechos impuesta -suspensión para el ejercicio de la profesión de abogado-, dado que la misma ocasionaría una perturbación grave de los intereses generales ya que el delito se cometió en ejercicio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13 de octubre de 2003, la representación del demandante de amparo reiteró la petición de suspensión de la resolución y de cuantas resoluciones fueran dictadas en su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en relación con las penas de multa, y el arresto sustitutorio para caso de impago, la inhabilitación consistente en la suspensión del derecho a ejercer la profesión de abogado, así como la condena al pago de la indemnización y las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-en el caso multa, indemnización y costas-,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275/1990, 117/1999, 106/2002, y 313/2003, por todos). Esta doctrina es igualmente aplicable a la condena en costas procesales, pues al entrañar un pago en dinero, su ejecución no provoca ningún perjuicio que pueda hacer inútil el recurso de amparo (AATC 244/1991, 2092/1992, 267/1995, 117/1999, entre otros muchos). Por consiguiente, en atención al carácter excepcional de la suspensión (art. 56 LOTC) ha de denegarse la suspensión de las resoluciones impugnadas en relación con la pena de multa impuesta, la indemnización y la condena en costas procesales.</w:t>
      </w:r>
    </w:p>
    <w:p w:rsidRPr="00C21FFE" w:rsidR="00AD51A7" w:rsidRDefault="00AD51A7">
      <w:pPr>
        <w:rPr/>
      </w:pPr>
      <w:r w:rsidRPr="&lt;w:rPr xmlns:w=&quot;http://schemas.openxmlformats.org/wordprocessingml/2006/main&quot;&gt;&lt;w:lang w:val=&quot;es-ES_tradnl&quot; /&gt;&lt;/w:rPr&gt;">
        <w:rPr/>
        <w:t xml:space="preserve">Tampoco ha de suspenderse en este momento la responsabilidad personal subsidiaria para el caso de impago de la multa, dado que se trata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(AATC 136/1999; 48/2003).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 pena de suspensión del derecho a ejercer la profesión de abogado, se ha de recordar que este Tribunal tiene declarado que la ejecución de las penas de inhabilitación no causan perjuicios irreparables. En particular, como declaramos en el ATC 283/1995 (FJ 3), en la medida en que "se proyecte sobre la profesión u oficio cuyo ejercicio ha propiciado la actividad delictiva, debe estimarse su contenido como predominantemente patrimonial y la posibilidad consecuente de que, si bien de un modo más complejo que las relativas a la multa o al pago de las costas, sean directamente reparables los efectos derivados de la ejecución ante una hipotética estimación del amparo (ATC 144/1995). De ahí que haya que negar la irremediabilidad del efecto de la ejecución, la pérdida de la finalidad de un hipotético amparo y, por lo tanto, el presupuesto de la suspensión" (además, entre otros, ATC 25/2002).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de la Sección Primera de la Audiencia Provincial de Lleida de 4 de octubre de 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