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6975-2002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6975-2002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Sentencia de la Sección Séptima de la Audiencia Provincial de Cádiz de 11 de noviembre de 2002 en lo atinente a las penas privativas de libertad e inhabilitación especial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diciembre 2002, la Procuradora de los Tribunales doña Myriam Álvarez Del Valle Levesque, interpuso, en nombre de don Jorge Ávila Valera, recurso de amparo contra la Sentencia de la Sección Séptima de la Audiencia Provincial de Cádiz en virtud de la cual resultó condenado como autor de un delito de robo con violencia de los arts. 237 y 241.1 y 2 CP y un delito de lesiones del art. 147 CP a las penas de tres años y seis meses de prisión por el primero y un año de prisión por el segundo, con accesoria de inhabilitación especial para el derecho de sufragio pasivo durante el tiempo de la condena, así como a indemnizar a la víctima en 25.050 euros y el pago de las costas de la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al proceso con todas las garantías y a la presunción de inocencia (art. 24.2 CE), al haber sido condenado en apelación, previa revocación de la Sentencia absolutoria de primera instancia, con una nueva valoración de la prueba realizada sin celebración de vista oral, y, por tanto, sin respetar las garantías de inmediación y contradición.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enero de 2004,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30 de enero de 2004, la representación del demandante de amparo razonó sobre la procedencia de la suspensión interesada afirmando que la suspensión no ocasionaría perturbación grave de los intereses generales frente a los perjuicios irreparables que el ingreso en prisión le produciría. En particular, aduce que, habiendo solicitado indulto le ha sido denegado, razón por la cual ingresará en prisión el 1 de marzo de este año, cuando está trabajando en la actualidad y no ha faltado a los llamamientos de la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2 de febrero de 2004, el Ministerio Fiscal interesó la suspensión de las penas privativas de libertad impuestas, ya que al afectar a la libertad del recurrente sería de difícil restitución, por lo que, dado el tiempo que normalmente se consume en tramitar el proceso de amparo, de no accederse a la suspensión se provocaría un perjuicio que tornaría en inútil el presente procedimiento. En su criterio, la misma suerte ha de correr la pena accesoria impuesta, de inhabilitación especial, en aplicación de la doctrina constitucional, mientras que las penas de contenido económico, puesto que son susceptibles de restitución íntegra, no deben ser suspendidas.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las penas privativas de libertad impuestas -prisión de tres años y seis meses y un año-, las dos penas accesorias de inhabilitación especial y las condenas al pago de la indemnización y de las costas de la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por todos). Esta doctrina es igualmente aplicable a la condena en costas procesales, pues al entrañar un pago en dinero, su ejecución no provoca ningún perjuicio que pueda hacer inútil el recurso de amparo (AATC 244/1991; 2092/1992; 267/1995; 117/1999,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condena en responsabilidad civil y en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Respecto de condenas a penas privativas de libertad de hasta cinco años, la regla general ha sido su suspensión conforme al criterio genérico de la pérdida de eficacia del amparo -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 así como la trayectoria, acreditada documentalmente por el recurrente, posterior a su condena (ATC 270/2002).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procede la suspensión solicitada en lo atinente a las penas de prisión impuestas de tres años y seis meses y un año, pues, como advierte el Fiscal, atendida su global duración y la previsible duración del proceso de amparo, la denegación de la suspensión podría hacer perder al amparo su finalidad.</w:t>
      </w:r>
    </w:p>
    <w:p w:rsidRPr="00C21FFE" w:rsidR="00AD51A7" w:rsidRDefault="00AD51A7">
      <w:pPr>
        <w:rPr/>
      </w:pPr>
      <w:r w:rsidRPr="&lt;w:rPr xmlns:w=&quot;http://schemas.openxmlformats.org/wordprocessingml/2006/main&quot;&gt;&lt;w:lang w:val=&quot;es-ES_tradnl&quot; /&gt;&lt;/w:rPr&gt;">
        <w:rPr/>
        <w:t xml:space="preserve">Igual suerte ha de correr la pena de inhabilitación especial impuesta, pues, de conformidad con la jurisprudencia constitucional, las penas accesorias siguen la suerte de la principal (entre muchos, AATC 144/1984; 267/1995; 301/1995; 7/1996; 152/1996; 87/1997; 286/1997; 182/1998; 271/1998; 83/2000; y 22/2002).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Sentencia de la Sección Séptima de la Audiencia Provincial de Cádiz de 11 de noviembre de 2002 en lo atinente a las penas privativas de libertad e inhabilitación especial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