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19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Pascual Sala Sánchez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2999-2003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2999-2003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en lo que a la pena privativa de libertad y a la accesoria de inhabilitación especial para el ejercicio del derecho de sufragio pasivo se refiere.</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la ejecución de la condena al pago de la responsabilidad civil y de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6 de mayo de 2003 y registrado en este Tribunal al día siguiente, la Procuradora de los Tribunales doña Pilar Cosmen Mirones, en nombre y representación de don Joaquín Aliaga Pérez, interpuso recurso de amparo contra la Sentencia de la Sección Primera de la Audiencia Provincial de Valencia de 3 de abril de 2003, por la que se revocaba en apelación la Sentencia dictada por el Juzgado de lo Penal núm.4 de esa misma localidad, con fecha de 24 de diciembre de 2002, en el procedimiento seguido contra el recurrente por delito de apropiación indebida. En la demanda de amparo se solicitaba, por otrosí digo, la suspensión de la pena impuesta hasta tanto no se resuelva el presente recurso de amparo, dado que, habida cuenta de su corta extensión,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Con fecha de 24 de diciembre de 2002, el Juzgado de lo Penal núm.4 de Valencia dictó una Sentencia por la que absolvía al demandante de amparo del delito de apropiación indebida del que venía acusado por considerar que no existía prueba suficiente de que, efectivamente, se hubiera adueñado de ciertas cantidades cobradas por encargo de la querellante. </w:t>
      </w:r>
    </w:p>
    <w:p w:rsidRPr="00C21FFE" w:rsidR="00AD51A7" w:rsidRDefault="00AD51A7">
      <w:pPr>
        <w:rPr/>
      </w:pPr>
      <w:r w:rsidRPr="&lt;w:rPr xmlns:w=&quot;http://schemas.openxmlformats.org/wordprocessingml/2006/main&quot;&gt;&lt;w:lang w:val=&quot;es-ES_tradnl&quot; /&gt;&lt;/w:rPr&gt;">
        <w:rPr/>
        <w:t xml:space="preserve">b) Presentado por la acusación particular recurso de apelación contra la anterior resolución, fue parcialmente estimado por Sentencia de la Sección Primera de la Audiencia Provincial de Valencia de 3 de abril de 2003, notificada a la representación del actor el día 8 de ese mismo año, en que se le condenaba, como autor responsable de un delito de apropiación indebida, a la pena de un año de prisión, con la accesoria de inhabilitación especial para ejercer el derecho de sufragio pasivo durante el tiempo de la condena, así como a satisfacer a la empresa querellante la cantidad de 2.045´05 euros y 1.352´28 euros, más los intereses legales, y al pago de la mitad de las costas de la primera instancia, incluidas las de la acusación particular. En dicha Sentencia, el órgano judicial de apelación procedió a introducir modificaciones en los hechos probados derivadas de una nueva valoración de la prueba testifical practicada en instancia. </w:t>
      </w:r>
    </w:p>
    <w:p w:rsidRPr="00C21FFE" w:rsidR="00AD51A7" w:rsidRDefault="00AD51A7">
      <w:pPr>
        <w:rPr/>
      </w:pPr>
      <w:r w:rsidRPr="&lt;w:rPr xmlns:w=&quot;http://schemas.openxmlformats.org/wordprocessingml/2006/main&quot;&gt;&lt;w:lang w:val=&quot;es-ES_tradnl&quot; /&gt;&lt;/w:rPr&gt;">
        <w:rPr/>
        <w:t xml:space="preserve">Se aduce en la demanda que la Sentencia dictada en sede de apelación ha vulnerado el derecho del solicitante de amparo a la presunción de inocencia, reconocido en el art. 24.2 CE. </w:t>
      </w:r>
    </w:p>
    <w:p w:rsidRPr="00C21FFE" w:rsidR="00AD51A7" w:rsidRDefault="00AD51A7">
      <w:pPr>
        <w:rPr/>
      </w:pPr>
      <w:r w:rsidRPr="&lt;w:rPr xmlns:w=&quot;http://schemas.openxmlformats.org/wordprocessingml/2006/main&quot;&gt;&lt;w:lang w:val=&quot;es-ES_tradnl&quot; /&gt;&lt;/w:rPr&gt;">
        <w:rPr/>
        <w:t xml:space="preserve">En apoyo de dicha pretendida vulneración, se argumenta, en forma ciertamente escueta, que la revocación en dicha sede de la Sentencia absolutoria dictada en instancia -absolución que habría venido motivada por la falta de prueba suficiente de que la no devolución del dinero cobrado por el demandante de amparo fuera constitutivo de un delito de apropiación indebida y no de una simple retención provisional realizada a la espera de una ulterior liquidación a efectuar con la empresa mandataria- se basó en pruebas inexistentes ya que su valor como tales habría sido descartado por el juzgador a quo en condiciones de inmediación, no estando el órgano judicial de apelación autorizado, en ausencia de dicha inmediación, a cambiar los hechos declarados probados en la resolución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abril de 2004,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4 de mayo de 2004 en el que, de conformidad con la reiterada doctrina dictada al respecto por este Tribunal, consideraba procedente la suspensión de la ejecución de la pena privativa de libertad impuesta al demandante de amparo dada su corta duración, sin hacer mención expresa de la condena al pago de la responsabilidad civil y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presentado en el Juzgado de guardia el 3 de mayo de 2004 y registrado en este Tribunal el día 5 de ese mismo mes y año, en el que, tras señalar que no resultaba en ese momento preocupante su condena a un año de prisión, manifestaba que sí lo era en cambio la circunstancia de tener que abonar mensualmente unas cantidades que le producían un grave perjuicio no sólo económico, sino también moral, al venir impuestas por una Sentencia a todas luces injusta.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a acordar la suspensión interesada en lo relativo a la pena privativa de libertad dado que, de no suspenderse, podría ocasionarse al recurrente un perjuicio irreparable toda vez que, como ya hemos declarado en anteriores ocasiones (por todas, AATC 269/1998, de 26 de noviembre y 84/2002, de 20 de mayo), estando comprendida la duración de la condena a pena de prisión dentro de la posible duración de la tramitación del presente recurso, previsiblemente dicha pena privativa de libertad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suspensión de la pena privativa de libertad conlleva asimismo la de la pena accesoria de suspensión del derecho de sufragio pasivo durante el tiempo de la condena, por seguir dicha pena la suerte de la principal a la que acompaña y no apreciarse que la suspensión de su ejecución pueda afectar a los derechos de terceros (AATC 131/2001, de 22 de mayo y 151/2001, de 18 de junio, entre otros muchos). No procede, en cambio, la suspensión de la ejecución de la condena en lo relativo a la responsabilidad civil y al pago de las costas dado el carácter reversible de ambos pronunciamientos.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en lo que a la pena privativa de libertad y a la accesoria de inhabilitación especial para el ejercicio del derecho de sufragio pasivo se refiere.</w:t>
      </w:r>
    </w:p>
    <w:p w:rsidRPr="" w:rsidR="00AD51A7" w:rsidRDefault="00AD51A7">
      <w:pPr>
        <w:rPr/>
      </w:pPr>
      <w:r w:rsidRPr="&lt;w:rPr xmlns:w=&quot;http://schemas.openxmlformats.org/wordprocessingml/2006/main&quot;&gt;&lt;w:szCs w:val=&quot;24&quot; /&gt;&lt;/w:rPr&gt;">
        <w:rPr/>
        <w:t xml:space="preserve">2º Denegar la suspensión de la ejecución de la condena al pago de la responsabilidad civil y de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