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6002-2002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6002-2002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suspensión solicitada respecto de la ejecución de la sentencia dictada el 20 de septiembre de 2002 por la Sala de lo Civil del Tribunal Supremo en el recurso de casación núm. 506/97.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octubre de 2002 el Procurador don Antonio Barreiro-Meiro Barbero interpuso demanda de amparo, en nombre y representación de don Manuel Jiménez Catalán, contra la Sentencia de la Sala de lo Civil del Tribunal Supremo de 20 de septiembre de 2002, que estima el recurso de casación formulado contra la Sentencia de la Sección vigésimo segunda de la Audiencia Provincial de Madrid de 7 de diciembre de 1996 y, en consecuencia, se declara la filiación no matrimonial respecto del demandado y se ordenan las rectificaciones registrales procedentes.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 Sentencia de la Sala de lo Civil del Tribunal Supremo aquí impugnada vulnera el derecho a la tutela judicial efectiva (art. 24.1 CE) por valorar la prueba incurriendo en error patente y contradiciendo la jurisprudencia constitucional, así como el derecho a la igualdad (art. 14 CE). Así mismo, por medio de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22 de abril de 2004 la Sección Tercera de la Sala Segunda acordó, conforme al art. 50.3 LOTC, conceder plazo de diez días para alegaciones al demandante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julio de 2004 la Sala Segunda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don Antonio Barreiro-Meiro Barbero presentó escrito en este Tribunal, registrado el 20 de julio de 2004, en el que formula sus alegaciones en relación con el incidente de suspensión, aduciendo que la ejecución de la resolución judicial impugnada en amparo, supondría un cambio de estado del menor y ocasionaría al demandante perjuicios como consecuencia de la modificación de la situación paterno-filial del actor, que sería inscrito como progenitor del menor con efectos frente 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en escrito registrado el 21 de julio de 2004, tras hacer referencia a la excepcionalidad de la medida cautelar de suspensión, se opone a la suspensión solicitada, al no acreditar que la ejecución le ocasione un perjuicio irreparable, sin que pueda considerarse que la falta de suspensión le ocasione un perjuicio que haga perder al amparo su finalidad, ya que consistiendo la ejecución de la Sentencia recurrida en amparo en el establecimiento de una relación paterno-filial, el contenido de esa relación, que se traduce en su reflejo en el Registro Civil y en el ejercicio de derechos y el cumplimiento de obligaciones que constituyen su contenido, admite sin dificultad su restitución al estado anterior al de su ejecución en el caso de que se otorgara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Es el potencial perjudicado quien ha de justificar el riesgo o peligro de perjuicio, pues, aunque la viabilidad de la demanda sirva para apreciar una inicial apariencia de buen derecho de las pretensiones en ella contenidas, también se requiere la justificación de un riesgo o peligro de que, de no acordarse la suspensión de la ejecución de la resolución impugnada en amparo, se ocasionaría al demandante un perjuicio que haría perder al amparo su finalidad. En este sentido, hemos entendido que sólo hay peligro o riesgo de perjuicio irreparable cuando la ejecución prevista del acto recurrido pueda provocar que el posterior y eventual restablecimiento del recurrente en el derecho constitucional vulnerado, en el supuesto de que el amparo sea otorgado, sea tardío e impida definitivamente que tal restauración sea efectiva (AATC 10/2004, de 12 de enero y 36/2004, de 9 de febrero,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ante todo en el juego de los intereses contrapuestos en orden a la inmediata eficacia de la Sentencia recurrida o a su suspensión, ha de tenerse en cuenta que en tal juego el interés del menor debe considerarse preferente, lo que en principio supone que salvo que tal interés deba supeditarse a exigencias de tutela cautelar del demandante que impongan la suspensión, en cuanto a ésta ha de estarse a la aplicación de la doctrina que acaba de exponerse, lo que conduce a la denegación de la suspensión solicitada, pues, siendo excepcional acordar la suspensión en amparo y siendo carga del recurrente acreditar que la ausencia de suspensión privaría de finalidad al amparo conforme a la doctrina antes expresada, en el presente caso el recurrente no ha cumplido con la carga que le corresponde. En efecto, como advierte el Ministerio Fiscal, en este caso no puede considerarse que la falta de suspensión le ocasione un perjuicio que haga perder al amparo su finalidad, ya que al consistir la ejecución de la Sentencia recurrida en amparo en el establecimiento de una relación paterno-filial, con el conjunto de derechos y obligaciones que constituyen su contenido, así como en su reflejo en el Registro Civil, cabe sin dificultad su restitución al estado anterior al de su ejecución en el caso de que se otorgara el amparo mediante la eventual extinción de la relación jurídica declarada y la correspondiente cancelación de los asientos registrales correspondientes, y ello aunque no pueda negarse de principio la eventual proclamación en el interés de perjuicios no patrimoniales de difícil reparación, que, en todo caso, no harían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suspensión solicitada respecto de la ejecución de la sentencia dictada el 20 de septiembre de 2002 por la Sala de lo Civil del Tribunal Supremo en el recurso de casación núm. 506/97.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