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Sección Segunda de la Sala de lo Contencioso-Administrativo del Tribunal Superior de Justicia de Castilla y León de Sentencia de 18 de septiembre de 2006, dictada en el rollo de apelación núm. 77-2006.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Manuel Lanchares Perlado, en nombre y representación de Arroyo Hondo, S.L., y bajo la dirección del Letrado don Santiago Gastón de Iriarte Medrano, interpuso recurso de amparo contra el Auto de la Sección Segunda de la Sala de lo Contencioso-Administrativo del Tribunal Superior de Justicia de Castilla y León de 2 de noviembre de 2006, por el que se aclara la providencia de 26 de octubre de 2006, por la que se inadmite el incidente de nulidad de actuaciones contra la Sentencia de 18 de septiembre de 2006, dictada en el rollo núm. 77-2006, por la que se estima el recurso de apelación interpuesto contra la Sentencia del Juzgado de lo Contencioso-Administrativo de Ávila de 4 de abril de 2006, dictada en el procedimiento ordinario núm.109-2005. </w:t>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resolución impugnada, en la que se declaran conformes a Derecho los Decretos de Alcaldía del Ayuntamiento de Ávila de 4 de noviembre de 2004 y 15 de marzo de 2005, por los que se practican las liquidaciones relativas al Impuesto sobre el incremento de los terrenos de naturaleza urbana núms. 4148 a 4150-2004, dictadas en el expediente núm. 1988-2004. A esos efectos se alega la existencia de prestación de garantía hipotecaria sobre una finca a favor del Ayuntamiento, aceptada por éste e inscrita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9 de enero de 2008,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29 de enero de 2008, presentó alegaciones en las que interesaba la denegación de la suspensión al tratarse de una condena de exclusivo contenido económico de la que no puede derivarse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recurrente, por escrito registrado el 22 de enero de 2008, presentó alegaciones solicitando la suspensión de pago de las liquidaciones, afirmando, por un lado, que de hacerse efectivo haría perder al amparo solicitado su finalidad y, por otro, que la suspensión no puede causar perjuicio al interés público al mantenerse una garantía hipotecaria a favor del Ayuntamiento.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ni causan un perjuicio irreparable al obligado al pago ni la eventual estimación del amparo les haría perder su finalidad, toda</w:t>
      </w:r>
    </w:p>
    <w:p w:rsidRPr="00C21FFE" w:rsidR="00AD51A7" w:rsidRDefault="00AD51A7">
      <w:pPr>
        <w:rPr/>
      </w:pPr>
      <w:r w:rsidRPr="&lt;w:rPr xmlns:w=&quot;http://schemas.openxmlformats.org/wordprocessingml/2006/main&quot;&gt;&lt;w:lang w:val=&quot;es-ES_tradnl&quot; /&gt;&lt;/w:rPr&gt;">
        <w:rPr/>
        <w:t xml:space="preserve">vez que es legalmente posible en caso de estimación que se obtenga la devolución de lo pagado en ejecución de la Sentencia. De ahí que se haya insistido en que sólo en aquellos supuestos en los que con un principio de prueba la ejecución de lo acordado</w:t>
      </w:r>
    </w:p>
    <w:p w:rsidRPr="00C21FFE" w:rsidR="00AD51A7" w:rsidRDefault="00AD51A7">
      <w:pPr>
        <w:rPr/>
      </w:pPr>
      <w:r w:rsidRPr="&lt;w:rPr xmlns:w=&quot;http://schemas.openxmlformats.org/wordprocessingml/2006/main&quot;&gt;&lt;w:lang w:val=&quot;es-ES_tradnl&quot; /&gt;&lt;/w:rPr&gt;">
        <w:rPr/>
        <w:t xml:space="preserve">acarree perjuicios patrimoniales difícilmente reparables por su entidad, por la imposibilidad de repercutir su costo o por la irreversibilidad de las situaciones jurídicas que puedan producirse procede acceder a la suspensión (por todos, ATC 459/2006, de</w:t>
      </w:r>
    </w:p>
    <w:p w:rsidRPr="00C21FFE" w:rsidR="00AD51A7" w:rsidRDefault="00AD51A7">
      <w:pPr>
        <w:rPr/>
      </w:pPr>
      <w:r w:rsidRPr="&lt;w:rPr xmlns:w=&quot;http://schemas.openxmlformats.org/wordprocessingml/2006/main&quot;&gt;&lt;w:lang w:val=&quot;es-ES_tradnl&quot; /&gt;&lt;/w:rPr&gt;">
        <w:rPr/>
        <w:t xml:space="preserve">18 de diciembre, FJ 1)</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toda vez que la condena es de exclusivo contenido patrimonial y no se ha ofrecido ni se ha argumentado por parte de la entidad recurrente un principio de prueba razonable sobre la irreparabilidad de los perjuicios que le ocasionaría su ejecución. Esta conclusión no resulta alterada por el hecho de que el pago de la obligación tributaria de la actora cuente con una garantía hipotecaria, ya que la inexistencia de perjuicios para el interés público sólo puede entrar a valorarse una vez que se verifique la producción de un perjuicio al recurrente que hiciera al amparo perder su finalidad, que es, precisamente, lo que no ha quedado acreditado en este caso (por todas, ATC 470/2007, de 17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Sección Segunda de la Sala de lo Contencioso-Administrativo del Tribunal Superior de Justicia de Castilla y León de Sentencia de 18 de septiembre de 2006, dictada en el rollo de apelación núm. 77-2006.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