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abril de 2008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Javier Delgado Barrio, don Jorge Rodríguez-Zapata Pérez,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3013-2004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3013-2004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la causa de abstención formulada por la Excma. Sra. doña María Emilia Casas Baamonde en el recurso de amparo núm. 3013-2004, apartándola definitivamente del referido recurso.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Por escrito presentado en este Tribunal el 12 de mayo de de 2004, “Pelayo Mutua de seguros a prima fija”, representada por la Procuradora de los Tribunales doña María Asunción Miquel Aguado y asistida por el Abogado don Alberto Martín Antón, interpone recurso de amparo contra las Sentencias de 18 de diciembre de 2000 y de 29 de octubre de 2001 del Juzgado de Instrucción núm. 2 de Colmenar Viejo y contra la Sentencia de la Sección Decimoséptima de la Audiencia Provincial de Madrid de 15 de marzo de 2004.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Mediante comunicación de fecha 21 de marzo de 2007, la Presidenta Excma. Sra. doña María Emilia Casas Baamonde expone: “Que conforme a lo previsto en el art. 217 LOPJ, manifiesto mi voluntad de abstenerme en el conocimiento del recurso de amparo núm. 3013-2004, por entender que concurre la causa establecida legalmente en el art. 219.9 LOPJ, por mi relación de amistad con representantes de la entidad ‘Pelayo Mutua de seguros y reaseguros a prima fija’ ”.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la Excma. Sra. doña María Emilia Casas Baamonde y de conformidad de lo previsto en el art. 80 de la Ley Orgánica del Tribunal Constitucional y el art. 219.9 de la Ley Orgánica del Poder Judicial, procede estimar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justificada la causa de abstención formulada en atención a la relación de amistad con representantes de la demandante de amparo “Pelayo Mutua de seguros a prima fija”.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A este respecto debe señalarse que “la imparcialidad subjetiva, entendiendo este concepto en el sentido que lo emplea el Tribunal Europeo de Derechos Humanos, [ha de concebirse] como la convicción personal del juez, lo que piensa en su fuero interno” (ATC 178/2005, de 9 de mayo, FJ 1). Por ello, al igual que hemos apreciado en un caso similar anterior, ante la duda de que la relación de amistad con representantes de la entidad Pelayo Mutua de seguros y reaseguros a prima fija, parte demandante en este proceso, manifestada por la Presidenta de este Tribunal “le impida ejercer su función imparcialmente —duda implícitamente formulada por [la propia Presidente] al manifestar su voluntad de abstenerse por este motivo—, la abstención debe entenderse justificada” (ATC antes citado, FJ 2).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la causa de abstención formulada por la Excma. Sra. doña María Emilia Casas Baamonde en el recurso de amparo núm. 3013-2004, apartándola definitivamente del referido recurso.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veintiocho de abril de dos mil ocho.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