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5890-2011 promovido por el Partido Humanista, representado por la Procuradora de los Tribunales doña Ángela Vegas Ballesteros y asistido por el Letrado don José Antonio López Gómez, contra la Sentencia del Juzgado de lo Contencioso-Administrativo núm. 3 de Toledo, de 28 de octubre de 2011, que desestima el recurso contencioso-electoral núm. 512-2011, interpuesto por el representante de la candidatura presentada por el Partido Humanista en la provincia de Toledo contra el acuerdo de la Junta Electoral Provincial de Toledo de 24 de octubre 2011, por la que se acuerda la no proclamación de la candidatura del Partido Humanista en la circunscripción de Toledo. Ha intervenido el Ministerio Fiscal.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30 de octubre de 2011 la Procuradora de los Tribunales doña Ángela Vegas Ballesteros, en nombre y representación del Partido Humanista,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Humanista presentó su candidatura para concurrir a las elecciones generales del próximo 20 de noviembre de 2011 por la circunscripción de Toledo, aportando 623 firmas de electores en cumplimiento de lo dispuesto en el art. 169.3 de la Ley Orgánica 5/1985, de 19 de junio, del régimen electoral general (en adelante LOREG), en la redacción dada el mismo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21 de octubre de 2011 la Junta Electoral Provincial de Toledo comunicó al representante del partido recurrente que no eran válidas 224 de las firmas que había presentado y, en consecuencia, su decisión de excluirlo de la proclamación de candidaturas. Ese mismo día el partido recurrente solicitó de la junta electoral la indicación de la causa que motivó en cada caso el rechazo de los citados avales al objeto de formular alegaciones y, en su caso, subsanar los errores advertidos. Mediante resolución de 24 de octubre de 2011 la junta electoral provincial acordó no haber lugar a la anterior solicitud y, en consecuencia, no proclamar su candidatura por considerar que la insuficiencia de los necesarios avales válidos no es un defecto subsanable, según el criterio anunciado en la resolución de la Junta Electoral Central de 20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resolución el partido político demandante de amparo interpuso recurso contencioso-administrativo electoral que fue tramitado por el Juzgado de lo Contencioso-Administrativo núm. 3 de Toledo con el núm. 512-2011. Por Sentencia de 28 de octubre de 2011 el citado órgano judicial acordó desestimar el recurso interpuesto por considerar que el incumplimiento del requisito de presentación de avales exigido por el art. 169.3 LOREG es un defecto que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partido político recurrente denuncia, en primer lugar, que no ha dispuesto de la información precisa sobre las razones por las que un buen número de los avales que presentó inicialmente no fueron luego considerados válidos por la junta electoral provincial por considerarlos duplicados, con la consecuente indefensión. Por añadidura considera en todo caso que la decisión de no permitir la subsanación de la omisión de la presentación de los avales exigidos por el art. 169.3 LOREG por parte de la junta electoral provincial trae causa de la resolución de 20 de octubre de 2011 de la presidencia de la Junta Electoral Central, que es una decisión lesiva del art. 23.2 CE porque realiza una interpretación arbitraria y desfavorable para el ejercicio de este derecho fundamental, y contraria igualmente a la doctrina del Tribunal Constitucional sobre subsanación de irregularidades en los procesos de proclamación de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recurrente denuncia, en segundo lugar, que los ciudadanos que figuran integrados en su candidatura, que no obtuvo representación en la anterior convocatoria de elecciones generales, se ven discriminados y gravados injustificadamente en relación con las personas que figuran en partidos con representación parlamentaria por la solicitud de avales exigida por el art. 169.3 LOREG. Y denuncia finalmente que el citado requisito del art. 169.3 LOREG vulnera el derecho de los avalistas a no declarar sobre su propia ideología (art. 16.2 CE), pues para avalar una candidatura se han de facilitar públicamente datos personales (nombre y apellidos, documento nacional de identidad y circunscripción electoral en la que se esté censado) que revelan su adhesión a una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2011 la Sala Primera de este Tribunal acordó admitir a trámite la demanda de amparo y, de conformidad con lo dispuesto en el art. 49 LOREG y en el art. 2 del acuerdo del Pleno de 2 de enero de 2000, recabar del Juzgado de lo Contencioso-Administrativo núm. 3 de Toledo las actuaciones correspondientes al procedimiento electoral 512-2011, que fueron remitidas al Tribunal, y dar vista al Ministerio Fiscal de la demanda presentada para que en el plazo de un día efectuara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 de noviembre de 2011 el Ministerio Fiscal presentó sus alegaciones interesando el otorgamiento del amparo solicitado. Tras resumir los antecedentes del presente asunto y reparar en la falta de justificación de la especial trascendencia constitucional del recurso a que obliga el art. 49 de la Ley Orgánica del Tribunal Constitucional, y que considera susceptible de determinar su inadmisión, el Fiscal examina por separado, y subsidiariamente para el caso de no acordarse por ese motivo la inadmisión del recurso, las vulneraciones constitucionales denunciadas en la demanda, comenzando por la posible vulneración del art. 23.2 CE a causa de la interpretación defendida por las resoluciones impugnadas acerca del carácter insubsanable del defecto advertido. A tal fin, luego de recordar lo principal de la doctrina constitucional sobre la subsanación de irregularidades advertidas en la presentación de candidaturas ante la Administración electoral y el contenido de la instrucción 7/2011, de 15 de octubre, de la Junta Electoral Central y, en especial, de la resolución de su presidencia del siguiente 20 de octubre de 2011, que niega la posibilidad de subsanar el defecto consistente en la falta de avales suficientes, el Fiscal concluye que la citada interpretación de la Administración electoral, luego confirmada por la Sentencia recurrida, no se ajusta a la doctrina constitucional y supone, por tanto, una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en cambio, que la exigencia del art. 169.3 LOREG es una limitación a la posibilidad de presentar candidaturas que es, sin embargo, perfectamente legítima dentro del margen de configuración legal del art. 23 CE que corresponde al legislador y proporcionada también a los fines que persigue, y que cifra en la necesidad de evitar una excesiva fragmentación de la representación política en aras de la eficacia de las instituciones democráticas, por lo que no resulta contraria al art. 23 CE. Como tampoco, por último, la comentada exigencia legal vulnera a juicio del Fiscal el art. 16.2 CE, toda vez que la libre manifestación de apoyo como avalista a una candidatura electoral, además de no comportar forzosamente una declaración sobre su propia ideología, supone en el caso de los avalistas que firman su propia candidatura, único supuesto relevante en el presente proceso constitucional de amparo, una publicidad consustancial al propio proceso electoral y a su condición de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procede dictar Sentencia en la que se otorgue el amparo solicitado por el Partido Humanista, reconociendo su derecho a acceder en condiciones de igualdad a las funciones y cargos públicos (art. 23.2 CE), declarando la nulidad de las resoluciones impugnadas y, en consecuencia, acordando retrotraer las actuaciones al momento anterior a dictarse la resolución de la Junta Electoral Provincial de Toledo de 24 de octubre de 2011, para que esta, admitiendo la subsanación mediante la aportación de avales y previo el examen de los mismos, decida lo que corresponda sobre la proclamación de la candidatura del Partido Humanista.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electoral la resolución de la Junta Electoral Provincial de Toledo de 24 de octubre de 2011 por la que se acuerda la no proclamación de la candidatura del Partido Humanista en la circunscripción electoral de Toledo para las elecciones generales a celebrar el 20 de noviembre de 2011, por no acreditar el número de avales exigido conforme lo dispuesto en el art. 169.3 de la Ley Orgánica del régimen electoral general (LOREG), así como la Sentencia de 28 de octubre de 2011 del Juzgado de lo Contencioso-Administrativo núm. 3 de Toledo que confirma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más detalle en los antecedentes, el partido recurrente alega la vulneración del derecho de acceso a los cargos públicos en condiciones de igualdad (art. 23.2 CE), por no haber podido subsanar la insuficiencia de avales; asimismo, considera que se ha lesionado el art. 23.2 CE, en relación con el principio de no discriminación del art. 14 CE, argumentando que los ciudadanos que figuran integrados en su candidatura, que no obtuvo representación en la anterior convocatoria de elecciones generales, se ven discriminados y gravados injustificadamente en relación con las personas que figuran en partidos con representación parlamentaria por la solicitud de avales exigida por el art. 169.3 LOREG. Por último, aduce la lesión del derecho a no ser obligado a declarar sobre la propia ideología (art. 16.2 CE), en relación con el derecho a participar por medio de representantes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declare la inadmisión del presente recurso de amparo por falta de justificación de la especial trascendencia constitucional del recurso [arts. 49.1 in fine y 50.1 a) de la Ley Orgánica del Tribunal Constitucional: LOTC] o, subsidiariamente, que se otorgue el amparo solicitado, por entender que la resolución impugnada de la Junta Electoral Provincial de Toledo, confirmada en vía judicial, ha vulnerado el derecho a acceder en condiciones de igualdad a las funciones y cargos públicos (art. 23.2 CE), al no permitir, en aplicación del criterio interpretativo de la instrucción 7/2011 sentado en el acuerdo de la presidencia de la Junta Electoral Central de 20 de octubre de 2011, la subsanación de la insuficiencia en el número de avales válidos presentados con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 la queja formulada por el partido recurrente es necesario despejar el óbice de admisibilidad aducido por el Ministerio Fiscal, que afirma que la demanda carece de la necesaria justificación de la especial trascendencia constitucional del recurso exigida por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demanda pone de manifiesto que el partido recurrente argumenta que la vulneración aducida del art. 23.2 CE trae causa de una decisión de aplicación general y carácter vinculante para todas las juntas electorales provinciales, como es la resolución de la presidencia de la Junta Electoral Central de 20 de octubre de 2011 sobre la insubsanabilidad de la omisión de la presentación de avales, y que, además, esta alegación se pone en relación con la reciente modificación legislativa del art. 169.3 LOREG en virtud de la Ley Orgánica 2/2011, que introduce como novedad la exigencia de un porcentaje mínimo de avales para presentar candidaturas a los partidos que no obtuvieron representación parlamentaria en la anterior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cabe entender que el partido recurrente conecta materialmente en su demanda la alegada lesión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por provenir de una reciente modificación legislativa, y que, además, la pretendida vulneración trae causa de una normativa de aplicación general y carácter vinculante para las administraciones electorales provinciales. En consecuencia, ha de entenderse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conveniente invertir, por razones lógicas, el orden de enjuiciamiento de las quejas en las que el partido recurrente sustenta su pretensión de amparo, de modo que hemos de comenzar por examinar la denunciada lesión del derecho a acceder a los cargos públicos en condiciones de igualdad y con los requisitos que establezcan las leyes (art. 23.2 CE), en relación con el principio de igualdad (art. 14 CE), al no haber sido proclamada por la Junta Electoral Provincial de Toledo, cuya decisión fue confirmada en la vía jurisdiccional, la candidatura presentada por el partido político demandante de amparo por incumplir el requisito establecido en el art. 169.3 LOREG, en la redacción dada al mismo por la Ley Orgánica 2/2011, de 28 de enero. Precepto éste que para la presentación de candidaturas en las elecciones al Congreso de los Diputados y al Senado exige a los partidos políticos, federaciones o coaliciones que no hubieran obtenido representación en ninguna de las Cámaras en la anterior convocatoria de elecciones la firma de, al menos, el 0,1 por 100 de los electores inscritos en el censo electoral de la circunscripción por la que pretenden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proceder a una adecuada delimitación de este primer motivo de amparo hemos de recordar, en primer lugar, que la invocación genérica del principio de igualdad (art. 14 CE) ha de entenderse subsumida, de acuerdo con reiterada doctrina constitucional, en el derecho de acceso a los cargos públicos (art. 23.2 CE), que es el derecho que, en su caso, pudiera haber resultado directamente transgredido (STC 193/1989, de 16 de noviembre,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ha de señalarse que aunque la demanda se dirige formalmente contra la resolución de la Junta Electoral Provincial de Toledo que acuerda no proclamar la candidatura del Partido Humanista y contra la Sentencia dictada en el recurso contencioso-electoral que ha confirmado dicha realidad, en realidad lo que se cuestiona en este motivo de amparo, desde la perspectiva del derecho reconocido en el art. 23.2 CE, es la constitucionalidad del requisito legal cuyo incumplimiento ha determinado la no proclamación de la candidatura presentada por el partido recurrente. Así pues, nuestro enjuiciamiento ha de contraerse en este punto, desde el limitado ámbito del recurso de amparo electoral, a constatar si el requisito legal impuesto por el art. 169.3 LOREG para la presentación de candidaturas por partidos políticos, federaciones o coaliciones que no hubieran obtenido representación en ninguna de las Cámaras de las Cortes Generales resulta lesivo o no del derecho al acceso a los cargos públicos (STC 127/2007,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esta alegación mediante la que se intenta plantear la constitucionalidad del art. 169.3 LOREG, en lo relativo a la exigencia de avales para la presentación de candidaturas por partidos políticos, federaciones o coaliciones que no hubieran obtenido representación parlamentaria, debe señalarse que dicha cuestión ya ha sido objeto de pronunciamiento por parte de este Tribunal en la STC 163/2011,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recuerdan las líneas esenciales de la doctrina constitucional sobre el derecho a acceder en condiciones de igualdad a los cargos públicos con los requisitos que señalen la leyes (art. 23.2 CE), en el que se incluye el derecho a presentar candidaturas y a presentarse como candidato en las diversas convocatorias electorales si se cumplen los requisitos legalmente establecidos al efecto. En particular se pone de manifiesto que es un derecho que confiere al legislador un amplio margen para configurar el sistema electoral, con las limitaciones que imponen, por un lado, que el ejercicio de ese derecho se apliquen a todos los ciudadanos por igual, sin obstáculos para que se concurra en idénticas condiciones legales ni diferencias injustificadas o irrazonables en la aplicación de las condiciones legales, y, por otro, que se respete el contenido sustantivo propio que impone el concepto constitucional de representación política (FJ 3). En virtud de ello, se incide en la Sentencia en que, con independencia de que la exigencia de avales no esté expresamente prevista en la Constitución, su eventual contradicción con el art. 23.2 CE sólo dependerá de que se hayan sobrepasado las limitaciones impuestas al legislador respecto de su carácter no discriminatorio o contrario al principio de representación política, no convirtiendo este requisito en arbitrario el hecho de que el legislador no haya explicado de manera suficiente las razones de su decisión legislativa, lo que sólo puede concluirse de su contraste con el texto constitucional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también se destaca en el fundamento jurídico 5 de la mencionada Sentencia que este Tribunal ha reiterado que la libertad de presentación de candidaturas por los partidos no es absoluta, pudiendo ser limitada por el legislador en atención a valores y bienes constitucionales protegidos, por lo que lo relevante para determinar la constitucionalidad de la exigencia de avales controvertida, como requisito limitativo a la presentación de candidaturas, es si tiene o no un fundamento constitucional que la justifique. A esos efectos, se recuerda que la exigencia de avales ni es inédita en los ordenamientos de países de nuestro entorno, ni tampoco en nuestro propio ordenamiento, en que se establece para las elecciones al Parlamento Europeo la necesidad de que los partidos, coaliciones, federaciones y agrupaciones de electores presenten la firma de 15.000 electores o la firma de cincuenta cargos electos (art. 220.3 y 4 LOREG) y también en relación con las agrupaciones de electores, a las que se exige para las elección al Congreso de los Diputados y al Senado en el mismo art. 169.3 LOREG un porcentaje de firmas del 1 por 100, lo que el Tribunal Europeo de Derechos Humanos , en su decisión de 9 de mayo de 1994, caso J.A. Serqueda c. España, no consideró contrario al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todo lo expuesto, en la citada STC 163/2011, de 2 de noviembre, este Tribunal ha concluido que la necesidad de obtención de avales establecida en el art. 169.3 LOREG no vulnera el derecho de acceso en condiciones de igualdad a las funciones y cargos públicos (art. 23.2 CE), ya que “constituye una limitación objetiva no carente de fundamento constitucional, pues obedece a la consecución de un valor o bien constitucionalmente protegido, como es el de la racionalización y perfeccionamiento de la organización y desarrollo del proceso electoral, a través del cual se articula la representación política, cuyo adecuado funcionamiento puede verse efectivamente afectado por la excesiva proliferación de candidaturas carentes, por las razones que fueran, de respaldo o arraigo en el cuerpo electoral” (FJ 6). Del mismo modo, se señala que “el requisito establecido en el art. 169.3 LOREG, además de atender a la racionalización y perfeccionamiento del procedimiento electoral en lo que se refiere a los recursos públicos destinados a su celebración y a la complejidad de su organización, también podría favorecer la clarificación de la oferta electoral, mediante la exclusión de aquellas candidaturas que, en el momento de su presentación, no sean capaces de acreditar, con la firma de los electores, un mínimo respaldo o arraigo en la circunscripción en la que pretenden presentarse. Asimismo cabe pensar que el requisito en cuestión podría evitar la dispersión del voto entre opciones partidarias que son expresión de una misma orientación o corriente ideológica, al facilitar, mediante la referida exclusión de candidaturas que no alcancen ese mínimo arraigo en el cuerpo electoral, que las opciones partidarias con respaldo suficiente que sean expresión de orientaciones o corrientes ideológicas minoritarias puedan superar la barrera electoral que permite obtener representación parlamentaria (STC 48/2003, de 12 de marzo, FJ 5), lo que contribuye a preservar el valor constitucional del pluralismo político (art. 1.1 CE), del que los partidos políticos son expresión principalísima”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este Tribunal ha expuesto en dicha Sentencia que la situación de desigualdad por limitar la exigencia de avales a los partidos que no hubieran obtenido en la anterior convocatoria electoral representación parlamentaria “no está desprovista desde la perspectiva del art. 23.2 CE de una justificación objetiva y razonable, ya que la obtención de representación parlamentaria en la última convocatoria electoral acredita que los partidos políticos que la han alcanzado gozan o, al menos, han gozado, de un respaldo o arraigo en el cuerpo electoral con ocasión de la celebración de un proceso electoral del que carecen los partidos políticos que, habiéndose presentado al mismo proceso electoral, no han tenido representación y que se desconoce que tengan o puedan tener aquellos partidos políticos que no han concurrido a la anterior convocatoria electoral. Entre unos partidos políticos y otros existe, por tanto, un elemento diferenciador (haber obtenido o no representación en cualquiera de las Cámaras de las Cortes Generales) que, en atención a las finalidades legítimas a las que sirve el requisito del art. 169.3 LOREG, constituye una justificación objetiva y razonable del distinto trato que el legislador dispensa a uno y a otros en relación con dicho requisito”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también en dicha Sentencia este Tribunal ha descartado que este requisito legal de obtención de avales del 0,1 por 100 pueda ser considerado desproporcionado puesto en relación tanto con la exigencia del 1 por 100 de avales a las agrupaciones electorales para presentar candidaturas en las elecciones al Congreso de los Diputados y al Senado (art. 169.3 LOREG) y en las elecciones municipales (art. 187.3 LOREG) como con la exigencia de 15.000 firmas a los partidos políticos, coaliciones, federaciones y agrupaciones de electores para la presentación de candidaturas en las elecciones al Parlamento Europeo (art. 214 LOREG). Del mismo modo se descarta que concurra desproporción alguna de esta exigencia de avales puesta en relación con el plazo concedido por las juntas electorales, de conformidad con lo dispuesto en la instrucción 7/2011, de 15 de septiembre de la Junta Electoral Central, relativa al procedimiento de acreditación de firmas de apoyo de candidaturas, que se extiende desde la convocatoria electoral correspondiente hasta la finalización del plazo de presentación de candidaturas (apartado quinto)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mencionada Sentencia descarta que suponga lesión del art. 23.2 CE el hecho de que no se facilite a las formaciones políticas una información precisa por parte de las juntas electorales de las firmas que la oficina del censo electoral consideren inválidas por haber avalado también otras candidaturas. Así, se señala que el derecho de sufragio pasivo se ejerce en el marco de un procedimiento caracterizado por la celeridad, la perentoriedad y la preclusión de plazos, lo que hace incompatible obligar a la Administración electoral a acreditar los hechos que ponen de manifiesto la invalidez de las firmas apartadas, especialmente, teniendo en cuenta, por un lado, que la invalidez de los avales está acreditada por una certificación de la oficina del censo electoral, que reúne garantías suficientes para presumir válidas sus conclusiones, y, por otro, que con el fin de comprobar la existencia de los errores advertidos, y en su caso de subsanarlos, siempre queda expedita la posibilidad de acudir a la Delegación de la oficina del censo electoral para hacer las comprobaciones pertinentes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queja relativa a la lesión del derecho a la libertad ideológica, debemos recordar que en el fundamento jurídico 8 de la mencionada STC 163/2011, y en relación con la eventual incidencia que tendría la exigencia de avales en el derecho a no ser obligados a declarar sobre la propia ideología (art. 16.2 CE), este Tribunal ha destacado que quien voluntariamente decide apoyar con su firma la presentación de una candidatura ni está siendo obligado a declarar sobre su ideología ni tampoco equivale a manifestar una inequívoca adhesión ideológica a la misma. Del mismo modo, también se descarta que los datos personales que han de facilitar a la Administración electoral para avalar una candidatura —nombre y apellidos, documento nacional de identidad y circunscripción electoral en la que se esté censado— afecten a la intimidad de los avalistas o a su derecho a no declarar sobre su ideología. A esos efectos, se pone de manifiesto que, conforme a reiterada doctrina constitucional, entre los aspectos básicos de la vida privada protegidos por la intimidad, a la ideología y creencias, no se encuentran los datos referentes a la participación en la vida política, por ser una actividad cuya propia naturaleza se desarrolla en la esfera pública, con excepción del derecho de sufragio activo, dado el carácter secreto del voto (por todas, STC 85/2003, de 8 de mayo,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entrando en el análisis de la queja planteada sobre la subsanabilidad de la presentación de avales, debe señalarse que esta cuestión ya ha sido objeto de pronunciamiento por parte de este Tribunal en las SSTC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conduce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conduce igualmente a otorgar el amparo, pues, como ha quedado expuesto en los antecedentes, la Junta Electoral Provincial de Toledo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permitió la aportación de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Humanista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Toledo de 24 de octubre de 2011 de no proclamación de la candidatura del Partido Humanista en dicha circunscripción electoral, así como de la Sentencia de 28 de octubre de 2011 del Juzgado de lo Contencioso-Administrativo núm. 3 de Toledo, dictada en el recurso contencioso-electoral núm. 512-2011.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Toledo de 24 de octubre de 2011 para que por dicha junta electoral se admita la subsanación mediante la aportación de avales y, previo el examen de los mismos, decida lo que corresponda sobre la proclamación de la candidatura del Partido Humanista.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