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18 de enero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1490-2010, planteada por el Juzgado de lo Contencioso-Administrativo núm. 2 de Alicante, sobre supuesta inconstitucionalidad del párrafo tercero del art. 73.3 de la Ley 7/1985, de 2 de abril, reguladora de las bases del régimen local, ante su posible contradicción con el art. 23 CE. Han intervenido en el procedimiento el Fiscal General del Estado, el Abogado del Estado y el Ayuntamiento de Denia.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febrero de 2010 tuvo entrada en el Registro General de este Tribunal un oficio del Juzgado de lo Contencioso-Administrativo núm. 2 de Alicante, al que se acompañaba testimonio de las actuaciones (procedimiento ordinario núm. 121-2008), del que forma parte el Auto de 10 de febrero de 2010 por el que se acuerda plantear cuestión de inconstitucionalidad en relación con el párrafo tercero del art. 73.3 de la Ley 7/1985, de 2 de abril, reguladora de las bases del régimen local (LBRL), ante su posible contradicción con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16 de junio de 2007 se constituyó la corporación municipal de Denia, figurando entre sus miembros el concejal don J.C.C.F., perteneciente al Grupo Socialista (PSOE), procediéndose a la elección de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 certificación del Secretario del Ayuntamiento de Denia resulta que: i) Por resolución de la Alcaldía de fecha 25 de junio de 2007 se efectuaron delegaciones especiales en determinados concejales, entre ellos, don J.C.C.F. en el área de Alcaldía, en el área de promoción económica local y desarrollo de sectores estratégicos y en el área de servicios municipales, si bien mediante Decreto de Alcaldía de 10 de diciembre 2007 se revocó la delegación especial concedida. ii) En sesión plenaria de 12 de julio de 2007, don J.C.C.F. pasó a formar parte de diversas comisiones, consejos y otros organismos como titular: comisión especial de cuentas e informativa de hacienda y promoción económica local; comisión informativa de modernización de la Administración, régimen interior, descentralización, seguridad y movilidad; comisión informativa de igualdad de género, promoción, cohesión e integración social; comisión informativa de cultura, educación y deportes; consejo de administración de aguas de Denia; consejo de la Gerencia municipal de urbanismo; comisión para el seguimiento del contrato de agua; y mesa de contratación. Esta delegación resultó modificada por Decreto de la Alcaldía de 27 de julio de 2007, en el área de Alcaldía, de promoción económica local y desarrollo de sectores estratégicos y en el área de servicios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Don J.C.C.F. solicitó el 30 de noviembre de 2007 causar baja en el grupo PSPV-PSOE, con el que había concurrido a las elecciones municipales. Mediante escrito de fecha 3 de diciembre de 2007 solicitó su incorporación, en su condición de concejal no adscrito, a diversas comisiones y consejos.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consecuencia de la moción de censura de 7 de julio de 2008, y tras una votación en el Pleno extraordinario, resultó elegida nueva Alcaldesa con 11 votos a favor de la moción, incluido el de don J.C.C.F., y 10 en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Ya por la nueva Alcaldesa, se dictaron los siguientes acuerdos: i) Por resolución de la Alcaldía de 8 de julio de 2008 se nombran los miembros de la Junta local y Tenencia de Alcaldía, encontrándose entre ellos don J.C.C.F., que también resulta nombrado cuarto Teniente de Alcalde. ii) Por resolución de la Alcaldía de 10 de julio de 2008 se acuerdan delegaciones generales a favor de determinados concejales, entre ellas en materia de medio ambiente y desarrollo sostenible a favor del concejal don J.C.C.F. iii) Por acuerdo adoptado en sesión plenaria del Ayuntamiento de 14 de julio de 2008, se acuerda la moción de la Alcaldía aprobando la relación de cargos que se desempeñarán con dedicación exclusiva, entre ellos, el de don J.C.C.F. como concejal de medio ambiente y desarrollo sostenible, con un sueldo bruto de 44.671,32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acuerdo adoptado en sesión plenaria de 31 de julio de 2008, se acuerda aprobar la moción de la Alcaldía sobre número, denominación y composición de las comisiones informativas permanentes, figurando entre los integrantes de las cinco creadas y como miembro del grupo no integrado el concejal don J.C.C.F.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la Subdelegación del Gobierno en Alicante, mediante escrito de 28 de julio de 2008, se solicitó del Ayuntamiento de Denia la remisión de diversa información sobre el acuerdo plenario antes referido. Recibida la información, la Subdelegación del Gobierno, mediante resolución de 11 de septiembre de 2008, requirió al Ayuntamiento la anulación de las resoluciones de 8 de julio, 10 de julio y 14 de julio de 2008, en virtud de lo dispuesto en el art. 65 LBRL. Finalmente, no habiéndose recibido contestación a dicho requerimiento, la Subdelegación del Gobierno dictó resolución de fecha 7 de noviembre de 2008, por la que disponía, de acuerdo con el art. 65.5 LBRL, la impugnación contenciosa de las resoluciones citadas, lo que se llevó a cabo el 10 de diciembre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Habiendo correspondido el conocimiento del recurso al Juzgado de lo Contencioso-Administrativo núm. 2 de Alicante, por Auto de 3 de junio de 2009 se acuerda recibir a prueba el procedimiento, y una vez finalizado el período probatorio, tras diversas vicisitudes procesales, se presentaron los respectivos escritos de conclusiones por demandante y demandado, declarándose el pleito concluso para Sentencia mediante providencia de 16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fecha 26 de noviembre de 2009, el Juzgado dictó providencia, a fin de que las partes y el Ministerio Fiscal pudieran efectuar alegaciones sobre la pertinencia de plantear cuestión de inconstitucionalidad, o sobre el fondo de ésta, apreciando el órgano judicial en relación con el art. 73.3 LBRL que “si bien existen algunos pronunciamientos jurisprudenciales sobre el art. 73.3 que van perfilando el Estatuto jurídico de los Concejales no adscritos, el párrafo tercero del art. 73.3 podría contravenir el 23.1 CE, al limitar el acceso del concejal no adscrito a un nuevo proyecto de gobierno municipal. Por ello es necesario oír a las partes y al Ministerio Fiscal para que en el plazo de diez días aleguen lo que deseen sobre la pertinencia de plantear una cuestión de inconstitucionalidad o sobre el fondo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Abogado del Estado, mediante escrito presentado el 23 de diciembre de 2009, manifestó su parecer contrario al planteamiento de la cuestión de inconstitucionalidad por entender que el precepto no afectaba al núcleo esencial del derecho reconocido en el art. 23 CE y lo mismo hizo el Ministerio Fiscal en su escrito de 18 de diciembre de 2009. Por el contrario, la representación procesal del Ayuntamiento de Denia, mediante escrito presentado el 15 de diciembre de 2009, se pronunció a favor del cuestionamiento del precepto legal, lo que había solicitado ya en su escrito de contestación a la demanda, argumentando que la falta de definición y concreción de las limitaciones impuestas respecto a los derechos del concejal no adscrito, así como respecto a la forma en que se regularán, genera en la práctica una inseguridad jurídica manifiesta, que vulnera los derechos individuales de dichos concejales, los cuales, por actuar al margen de un grupo político, verían coartado y limitado el ejercicio de su derecho de representación, con un claro quebranto del principio de igualdad, respecto al resto de concejales integrados en grupos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10 de febrero de 2010 el Juzgado dictó Auto planteando la cuestión de inconstitucionalidad sobre el indicado párrafo tercero del art. 73.3 LBRL, ante su posible contradicción con el art. 23 CE, en los términos que a continuación se detallan.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comienza recordando que, conforme a la doctrina de este Tribunal Constitucional, el art. 23.2 CE no sólo consagra el derecho de acceso al cargo público, sino el de permanecer en el mismo y el del ejercicio del cargo. Señala el órgano judicial que la cuestión de inconstitucionalidad que se plantea se centra en el derecho de don J.C.C.F. al ejercicio del cargo. Considera el órgano promotor que, en el caso analizado, el precepto citado impide al mismo ser miembro de la comisión de gobierno del Ayuntamiento de Denia y Teniente de Alcalde, al no haber ocupado con anterioridad dichos cargos en el grupo político de procedencia. A su juicio, se impide al representante ser elegido por el Alcalde de la corporación miembro de la comisión de gobierno y Teniente de Alcalde, cuando el resto de concejales sí pueden optar a dichos cargos. Añade que no puede obviarse la inconcreción del estatuto del miembro no adscrito, en tanto que como representante de la totalidad de los ciudadanos de su circunscripción, se le impide ocupar determinados cargos cuyas funciones inciden directamente sobre el núcleo de su función representativa, hasta el punto de que, en el caso analizado, podrían permitir incluso al referido concejal, en determinadas circunstancias, asumir el cargo de Alcalde en el Ayuntamiento de Denia.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la esencia de la duda de constitucionalidad se materializa en si el diferente trato que el art. 73.3 párrafo tercero LBRL dispensa al referido concejal está justificado en la diferente situación en la que se encuentra, al haber abandonado el grupo político constituido por la formación en la que concurrió a las elecciones del municipio de Denia. A su entender, el trato diferente recibido incide en el núcleo esencial de sus funciones representativas, en la medida en que sólo los concejales pueden ser miembros de la comisión de gobierno y Tenientes de Alcalde; ya que, de lo contrario, se estaría reconociendo que la función representativa y el ejercicio del cargo quedaría colmado con ser concejal, limitando los derechos económicos y políticos de quien representa a la totalidad del censo electoral de su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Constitucional, por providencia de 14 de abril de 2010, a los efectos que determina el art. 37.1 de la Ley Orgánica del Tribunal Constitucional (LOTC), acordó oír al Fiscal General del Estado para que, en el plazo de diez días, alegara lo que considere conveniente acerca de la admisibilidad de la cuestión de inconstitucionalidad, en relación con el cumplimiento de los requisitos procesales y por si fuera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evacuó el trámite de alegaciones mediante escrito registrado el 10 de mayo de 2010, en el que considera que la cuestión de inconstitucionalidad debía ser inadmitida, por resultar notoriamente infundada. Partiendo de la doctrina sentada en la STC 231/1998, de 1 de diciembre, expuso que el derecho contemplado en el art. 23 CE es un derecho de configuración legal. Pero añade, recordando la STC 298/2006, de 23 de octubre, que la remisión del constituyente a “los requisitos que señalen las leyes” no significa que el contenido constitucionalmente garantizado de este derecho sea el que en cada caso resulte de la legislación vigente; el derecho de acceso a las funciones y cargos públicos representativos se impone también, en su contenido esencial, al legislador, de tal manera que éste no podrá imponer restricciones a la permanencia en los mismos que, más allá de los imperativos del principio de igualdad, y desde la perspectiva constitucional, no se ordenen a un fin legítimo. A continuación señala que según doctrina del Tribunal Constitucional sólo tienen relevancia constitucional los derechos y deberes que afectan al núcleo de la función representativa y cita en este sentido la STC 39/2008, de 10 de marzo, y la STEDH de 2 de marzo de 2010 (Sección Tercera) en relación con el art. 3 del protocolo núm. 1, adicional al Convenio Europeo de Derechos Humanos. Y, en el mismo sentido, cita la STC 169/2009, de 9 de julio, que, con relación a los miembros de una corporación provincial, destaca aspectos que forman parte del núcleo fundamental de la función representativa, como el participar en la actividad de control del gobierno provincial, participar en las deliberaciones del pleno de la corporación, votar en los asuntos sometidos a votación en este órgano y obtener la información necesaria para poder ejercer las funciones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citada, el Fiscal General del Estado hace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origen del precepto impugnado, el párrafo tercero del art. 73.3 LBRL, se remonta al acuerdo sobre un código de conducta política en relación con el transfuguismo en las corporaciones locales, que se firmó por la práctica totalidad de los partidos políticos con fecha 7 de julio de 1998, que fue renovado por nuevos acuerdos de 26 de septiembre de 2000 y 23 de mayo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precepto cuestionado establece un marco regulador y restrictivo de carácter general, pero la mera previsión del mantenimiento —no superación— del contenido político y económico de las funciones de concejal no comporta necesariamente una limitación vulneradora del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sólo admite la posible vulneración del derecho cuando afecta al núcleo esencial del mandato representativo, de forma que éste no resulte desnaturalizado, y así, admite la posibilidad de una regulación diferenciada para los miembros no adscritos. El propio art. 73.3 contempla algunos supuestos limitativos no impugnados como son: el párrafo primero, en cuanto prohíbe la integración de los no adscritos en un grupo político; y, el apartado 6, en cuanto que, en caso de abandono de un grupo político por parte de la mayoría de sus componentes, los que permanezcan siguen manteniendo las prerrogativas que corresponden al grupo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restricciones responden a un fin legítimo y son adecuadas y proporcionadas. La actitud del tránsfuga, que, aun ejerciendo su derecho individual, altera el equilibrio de fuerzas derivado del grupo político con el que había concurrido a las elecciones, otorgando con su conducta la mayoría a otro grupo hasta ese momento minoritario, altera, aun en un segundo nivel, la representación democrática, pues la votación a un determinado partido político se efectúa no solo por la calidad de las personas que lo integran en las listas electorales, sino por la perspectiva política e ideológica que representan.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este caso, algunas de las modificaciones del status del concejal —como la dedicación exclusiva y su percepción económica— están expresamente excluidas del contenido fundamental representativo. Otras están expresamente respetadas y forman parte del contenido esencial, como la integración en las comisiones informativas. Y, finalmente, los aspectos a que se refiere concretamente el Auto de planteamiento —pertenencia a la Junta local, designación como Teniente de Alcalde— no están incluidas en el núcleo básico del mandato representativo y constituyen aspectos de la organización y estructura consistorial dentro de las potestades, no ilimitadas, del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Cuestión distinta será si la aplicación concreta del precepto cuestionado puede constituir algún tipo de vulneración constitucional por afectar al contenido esencial del precepto constitucional. Porque, en definitiva, la cuestión planteada no está tanto en la posible confrontación del párrafo tercero del art. 73.3 LBRL con el art. 23 CE, sino en la aplicación concreta de aquél, lo que no es materia del presente procedimiento, ya que se trata de interpretar si los actos de aplicación concreta pueden o no lesionar un derecho fundamental bajo la cobertura del art. 73.3 LBRL, pero no implican la inconstitucionalidad de un precepto que otorga cobertura a actos perfectamente ajustados a la Constitución. Ahora bien, la determinación concreta de qué aspectos pueden afectar al núcleo esencial es una cuestión interpretativa del alcance del precepto cuestionado y como tal,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Fiscal General del Estado interesa la inadmisión de la cuestión de inconstitucionalidad por ser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julio de 2010, el Pleno acordó admitir a trámite la cuestión de inconstitucionalidad, reservando para sí su resolución, así como dar traslado de las actuaciones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estimasen convenientes. Asimismo se acordó comunicar la admisión al órgano judicial proponente a fin de que, de conformidad con el art. 35.3 LOTC permaneciera suspendido el proceso judicial hasta que se resolviera la cuestión de inconstitucionalidad. En la misma providencia acordó el Tribunal publicar la incoación de la cuestión de inconstitucionalidad en el “Boletín Oficial del Estado”, lo que tuvo lugar en el ejemplar publicado el 3 de agosto de 2010 (núm. 187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septiembre de 2010 tuvo entrada en el Registro General del Tribunal el escrito del Presidente del Congreso poniendo en conocimiento el acuerdo de la Mesa de la Cámara por el que se decide su personación el procedimiento, ofreciendo su colaboración a los efectos del art. 88.1 LOTC. El Presidente del Senado, por su parte, mediante escrito que tuvo entrada el 9 de septiembre de 2010, comunica que la Mesa de la Cámara ha acordado su personación en el procedimiento, ofreciendo su colaboración a los efectos de lo previsto en el citado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10 de septiembre de 2010, en el que comienza señalando que la STC 169/2009, de 9 de julio (FJ 4), ha declarado que mediante el primer inciso del párrafo cuestionado el legislador persigue “la satisfacción de un interés legítimo”. La regla de cuya constitucionalidad duda el Juez cuestionante recoge una media anti-tránsfugas, cuya finalidad es que, respetando el núcleo de sus funciones representativas, el tránsfuga no se beneficie de un modo de proceder que claramente perturba el buen y estable gobierno de las Administraciones locales, y —al menos en un porcentaje significativo de casos— va asociado a conductas impropias y, en ocasiones, delictivas.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analiza a continuación si es cierto que la posibilidad de optar a un nombramiento libre del Alcalde (miembro de la Junta de gobierno local, Teniente de Alcalde), y la percepción de una retribución como delegado de medio ambiente y desarrollo sostenible con dedicación exclusiva, deben reputarse integrados en el núcleo de la función representativa de un concejal. La respuesta, a su juicio, debe ser negativa, y así se desprende de la propia STC 169/2009, que en su fundamento jurídico 3 señala que el núcleo esencial de las funciones representativas “se corresponde con aquellas funciones que sólo pueden ejercer los titulares del cargo público por ser la expresión del carácter representativo de la institución”. Para el Abogado del Estado el núcleo de las funciones representativas para las que los concejales han sido elegidos se condensa en participar en la actividad de control del ejecutivo o gobierno municipal, deliberar y votar en el Pleno y en obtener la información precisa para ejercer las anteriores funciones. Por ello afirma que, ni por el título de acceso al cargo (nombramiento y no elección), ni por el contenido de sus funciones, puede afirmarse que la posibilidad de optar a ser nombrado miembro de la Junta de gobierno local o Teniente de Alcalde con delegación en materia de medio ambiente y desarrollo sostenible se integre en el núcleo esencial de la función representativa de los concejales.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el Abogado del Estado que la interpretación de la que parte el Juez proponente no es la única que admite el tercer párrafo del art. 73.3 LBRL. La gran indeterminación del tercer párrafo del art. 73.3 LBRL permite, a su entender, justificar racionalmente muy distintas interpretaciones, algunas de las cuales podrían llevar a concluir que aquélla de la que parte el Auto de planteamiento no cuenta con razones irrefutables para imponerse definitivamente. Señala el Abogado del Estado que de entre las interpretaciones posibles del tercer párrafo del art. 73.3 LBRL, las hay más gravosas o más benignas con el tránsfuga, pero el afirmar que la finalidad discernible del párrafo cuestionado sea desincentivar el transfuguismo no obliga necesariamente a considerar más aceptables las propuestas hermenéuticas más perjudiciales para el concejal que no se incorpora o abandona el grupo vinculado a la formación electoral que le propuso como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que se dicte Sentencia desestimatoria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el 28 de septiembre de 2010, en el que solicita la desestimación de la cuestión de inconstitucionalidad por las mismas razones que adujo en su momento para proponer su inadmisión, reiterando íntegramente el anterior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Ayuntamiento de Denia, tras su personación, presentó escrito de alegaciones el 30 de septiembre de 2010. En su escrito muestra su conformidad con el planteamiento de la cuestión de inconstitucionalidad planteada. A su juicio, el derecho de representación, en su dimensión de ejercicio del cargo, resulta vulnerado por el párrafo tercero del art. 73.3 LBRL, y la interpretación dada por la Subdelegación del Gobierno, en tanto que se pretende limitar los derechos del concejal no adscrito en el ejercicio de su cargo, distorsiona el estatuto del mismo, por la falta de definición de la situación en la que quedaría dicho concejal no adscrito como consecuencia de su salida del grupo político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las delegaciones, nombramientos o designaciones que ostentó el concejal antes de abandonar el partido, no conforman los derechos del concejal no adscrito, ni condicionan o limitan al mismo, en el supuesto de abandonar o ser separado de un partido, porque, en base a la doctrina constitucional —STC 10/1983, FJ 3—, el cese o expulsión de un electo del partido político en cuyas listas compareció a un proceso electoral, no le hace perder a aquél su cargo, ni los derechos representativos inherentes al mismo, porque son los candidatos, y no el partido, quienes reciben el mandato representativo. Añade que todos los concejales ostentan los mismos derechos y deberes individuales, que en su condición de representantes del cuerpo electoral tienen inherentes, sin que su nombramiento o destitución como miembro de la Junta de gobierno local, Teniente de Alcalde, concejal delegado, etc., deba suponer un aumento o minoración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razonando que los derechos políticos y económicos a los que se hace referencia en el art. 73.3 LBRL, deben limitarse a los que vengan regulados en el reglamento orgánico de cada corporación y que se representarían, entre otros, en los derechos de asistencia y voto a las sesiones plenarias, o su participación en las comisiones informativas, derechos económicos de asignación a los grupos políticos con cargo a los presupuestos anuales de la corporación local, fijos y variables en función del número de integrantes,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el párrafo tercero del art. 73.3 LBRL se articula como una herramienta de control político que no sólo busca coartar la voluntad de los concejales y el ejercicio del cargo de representación que ostentan, sino que lo que pretende es condicionar la máxima acción de control al gobierno municipal, como es la moción de censura, limitando el ejercicio de las atribuciones de gobierno y administración municipal del Alcalde proclamado tras dicha moción, por cuanto que los concejales no adscritos que pudieran entrar a formar parte del nuevo equipo de gobierno no podrían ejercitar sus funciones de representación en condiciones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17 de enero de 2012 se señaló para deliberación y votación de la presente Sentencia el día 18 del mismo mes y año, trámite que ha finalizado en el día de hoy.</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planteamiento de la presente cuestión de inconstitucionalidad se sustenta en la duda del órgano judicial promotor acerca de la constitucionalidad de la norma que restringe los derechos económicos y políticos de los miembros de la corporaciones locales no adscritos al impedir que dichos derechos sean superiores a los que les hubiesen correspondido de permanecer en el grupo municipal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párrafo tercero del art. 73.3 de la Ley reguladora de las bases de régimen local (LBRL),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económicos y políticos de los miembros no adscritos no podrán ser superiores a los que les hubiesen correspondido de permanecer en el grupo de procedencia, y se ejercerán en la forma que determine el reglamento orgánico de cada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que el precepto cuestionado vulnera el art. 23 CE, en la medida en que impide al representante no adscrito ser elegido por el Alcalde de la corporación como miembro de la comisión de gobierno (actualmente Junta de gobierno local) y Teniente de Alcalde, cuando no ostentase esa condición antes de abandonar el grupo municipal, a diferencia del resto de concejales de la corporación, que sí pueden desempeñar dichos cargos. Para el órgano judicial el trato diferente recibido incide en el núcleo esencial de sus funciones representativas, en la medida en que sólo los concejales pueden ser miembros de la comisión de gobierno y Tenientes de Alcalde y, a su juicio, de entenderse lo contrario, se estaría reconociendo que la función representativa y el ejercicio del cargo quedaría colmado con ser concejal, limitando los derechos económicos y políticos de quien representa a la totalidad del censo electoral de su circunscripción.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recuerda el Fiscal General del Estado en su escrito de alegaciones, el origen del precepto impugnado se remonta al acuerdo sobre un código de conducta política en relación con el transfuguismo en las corporaciones locales, que se firmó por la práctica totalidad de los partidos políticos con fecha 7 de julio de 1998, y que fue renovado por nuevos acuerdos de 26 de septiembre de 2000 y 23 de mayo de 2006. La finalidad de los mismos es la de respetar la voluntad de los ciudadanos manifestada en las elecciones, en cuanto constituye la expresión esencial de un régimen democrático. Con este objetivo se disponen una serie de medidas “para frenar y reducir el condenable fenómeno de deslealtad política conocido como transfuguismo” entre las que se encuentra la creación legal de la figura de los “concejales no adscritos”, que no pueden integrarse en grupo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consecuencia de dicho acuerdo, la Ley 57/2003, de 16 de diciembre, de medidas para la modernización del gobierno local, modificó el art. 73.3 LBRL e introdujo la figura de los miembros de las corporaciones locales no adscritos a ningún grupo político, esto es, los concejales que no se integren en el grupo político que constituya la formación electoral por la que fueron elegidos o que abandonen su grupo de procedencia, siendo así que con anterioridad a la introducción de esta figura por la Ley 57/2003, los miembros de las entidades locales en esta situación pasaban a integrarse en el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73.3 LBRL regula un aspecto que se integra en el ámbito organizativo de la corporación local, como es el de los grupos políticos en los que se integran los concejales a los efectos de su actuación corporativa. Al respecto, hasta la reforma operada en la LBRL por la Ley 57/2003, de 16 de diciembre, el legislador había establecido un criterio de organización del trabajo de la corporación consistente en el encuadramiento en grupos de los concejales que la integran; y disponía la obligatoria adscripción de todo concejal a un grupo municipal, constituyendo el grupo mixto aquellos concejales que no quedaran integrados en ningún otro grupo municipal. Sin embargo, con la reforma del art. 73.3 LBRL el legislador ha optado por un sistema de organización que no se basa, como antes, exclusivamente en los grupos políticos, sino que, en dicho diseño organizativo, introduce, como hemos dicho, la figura del concejal no adscrito.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añadirse que, obviamente, el art. 73.3 LBRL no fija un régimen jurídico completo de las facultades y derechos de los concejales no adscritos, sino que deja un amplio margen que debe ser completado por las leyes de régimen local de cada Comunidad Autónoma y el reglamento orgánico de cada Ayuntamiento. No se especifica, por tanto, cuál será su estatuto legal, pero se establece que sus derechos económicos y políticos no podrán ser superiores a los que les hubiesen correspondido de permanecer en el grupo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del precepto establece así una regla general —los concejales, a efectos de su actuación corporativa, se constituirán en grupos políticos, correspondiéndoles el derecho-deber de estar adscritos a uno de ellos— que tiene como excepciones las relativas a aquellos concejales “que no se integren en el grupo político que constituya la formación electoral por la que fueron elegidos o que abandonen su grupo de procedencia”, supuestos en los que “tendrán la consideración de miembros no adscritos”, sin que la LBRL les reconozca derecho alguno ni a constituir un nuevo grupo ni a integrarse en alguno de los existentes en la corporación. Relacionada con tal imposibilidad la norma establece una limitación más, que en este proceso constitucional se cuestiona, al impedir que los derechos económicos y políticos de los miembros no adscritos puedan ser superiores a los que ostentaban en su calidad de miembros del grupo en el que deberían haberse integrado o del grupo de procedencia que han abandonado.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abordar el examen de la duda de constitucionalidad planteada debemos advertir que no nos corresponde dilucidar si, como el órgano judicial interpreta, el párrafo tercero del art. 73.3 LBRL impide que, en concreto, un concejal no adscrito sea nombrado para determinados cargos en el equipo de gobierno municipal, si no los hubiera venido ostentando con anterioridad a su tránsito a la referida condición de no adscrito, sino que al resolver la cuestión de inconstitucionalidad planteada debemos exclusivamente pronunciarnos acerca de si el precepto, tal y como es entendido por el órgano judicial, afecta al núcleo del derecho al ejercicio de cargos públicos protegido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tal precisión, el examen de la cuestión de constitucionalidad planteada debe partir de que, como hemos señalado en reiteradas ocasiones, existe una directa conexión entre el derecho de participación política de los cargos públicos representativos (art. 23.2 CE) y el derecho de los ciudadanos a participar en los asuntos públicos (art. 23.1 CE), puesto que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a); 203/2001, de 15 de octubre, FJ 2; 177/2002, de 14 de octubre, FJ 3; y 40/2003,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derecho de participación política, en sus distintas manifestaciones, es “un derecho que se otorga a los ciudadanos en cuanto tales y, por consiguiente, a las personas individuales. No es un derecho que pueda reconocerse genéricamente a las personas jurídicas o entes, como los sindicatos o los mismos partidos políticos (SSTC 53/1982, de 22 de julio, FJ 1; 5/1983, de 4 de febrero, FJ 4; 23/1983, de 25 de marzo, FJ 4; 51/1984, de 25 de abril, FJ 2; 63/1987, de 20 de mayo, FJ 5; y con especial referencia al apartado segundo del art. 23 CE, la STC 36/1990, de 1 de marzo, FJ 1)” (STC 298/2006, de 23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doctrina de este Tribunal, que “el art. 23.2 CE, en lo que ahora interesa, consagra la dimensión pasiva del derecho de participación política, enunciando el derecho de los ciudadanos a acceder en condiciones de igualdad a las funciones y cargos públicos, con los requisitos que señalen las leyes. A este contenido explícito del precepto ha aunado nuestra jurisprudencia un contenido implícito cual es, en primer lugar, el derecho a permanecer, en condiciones de igualdad y con los requisitos que señalen las leyes, en los cargos o funciones públicas a los que se accedió (STC 5/1983, de 4 de febrero, FJ 3), no pudiendo ser removido de los mismos si no es por causas y de acuerdo con procedimientos legalmente establecidos (STC 10/1983, de 21 de febrero, FJ 2). Y, además, hemos declarado el derecho al ejercicio o desempeño del cargo público representativo conforme a lo previsto en las leyes (STC 32/1985, de 6 de marzo, FJ 3). Cualquiera de las dimensiones que hemos identificado como integrantes del derecho de participación política reconocido en el art. 23.2 CE —acceso, permanencia y ejercicio— está delimitada —con arreglo al propio precepto constitucional— por la necesidad de llevarse a cabo en condiciones de igualdad y de acuerdo con los requisitos que señalen las leyes” (STC 298/2006, de 23 de octubre, FJ 6). En consecuencia, hemos destacado el carácter de configuración legal del derecho fundamental reconocido en el art. 23.2 CE, en el sentido de que corresponde primeramente a las leyes fijar y ordenar los derechos y atribuciones que corresponden a los representantes políticos, de manera que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que se integren” (por todas, SSTC 208/2003, de 1 de diciembre, FJ 4; 141/2007, de 18 de junio, FJ 3; y 169/2009, de 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el precepto cuestionado limita los derechos del concejal, en cuanto, al ser calificado legalmente como no adscrito, deja de ser miembro de un grupo político de los que integran la corporación. Ahora bien, hemos señalado en la STC 169/2009, de 9 de julio (FJ 7), que el distinto trato que el art. 73.3 LBRL otorga a los miembros de las corporaciones locales en función de su adscripción o no a un grupo político “está justificado en la diferente situación en la que se encuentran, al no haberse incorporado al grupo político constituido por la formación electoral por la que fueron elegidos: puede someterse a un régimen jurídico parcialmente diferente a los representantes que no se integran en el grupo político constituido por la formación en la que concurrieron a las elecciones respecto de aquéllos que sí lo hacen, todo ello sin perjuicio de respetar las facultades de representación que son propias del cargo electo, pues, como se ha indicado, el diferente trato que se otorga en este caso a los diputados no adscritos no conlleva una limitación de las facultades que constituyen el núcleo de sus funciones representativas”.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las restricciones o limitaciones impuestas a los concejales no adscritos responden a un fin legítimo. Como señala el Fiscal General del Estado en su escrito de alegaciones, “la actitud del tránsfuga, que, aun ejerciendo su derecho individual, altera el equilibrio de fuerzas derivado del grupo político con el que había concurrido a las elecciones, otorgando con su conducta la mayoría a otro grupo hasta ese momento minoritario, altera, aun en un segundo nivel, la representación democrática, pues la votación a un determinado partido político se efectúa no sólo por la calidad de las personas que lo integran en las listas electorales, sino por la perspectiva política e ideológica que representan”. En este sentido, debemos recordar que este Tribunal ha puesto de manifiesto la relevancia jurídica de la adscripción política de los representantes, entre otras, en la STC 32/1985, de 6 de marzo (FJ 2), en la que hemos afirmado que “es claro, en efecto, que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dotan de relevancia jurídica (y no sólo política) a la adscripción política de los representantes y que, en consecuencia, esa adscripción no puede ser ignorada, ni por las normas infraconstitucionales que regulen la estructura interna del órgano en el que tales representantes se integran, ni por el órgano mismo, en las decisiones que adopte en ejercicio de la facultad de organización que es consecuencia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cualquier acto que afecte al status jurídico aplicable al representante político lesiona el derecho fundamental invocado, “pues sólo poseen relevancia constitucional a estos efectos los derechos o facultades atribuidos al representante que pertenezcan al núcleo de su función representativa” (SSTC 38/1999, de 22 de marzo, FJ 2; 107/2001, de 23 de abril, FJ 3; 208/2003, de 1 de diciembre, FJ 4; 141/2007, de 18 de junio, FJ 3; y 169/2009, de 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poder dar respuesta a la cuestión de inconstitucionalidad planteada debemos determinar qué derechos o facultades atribuidos al representante político se integran en el núcleo de su función representativa, pues sólo así podremos concluir si el párrafo tercero del art. 73.3 LBRL vulnera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STC 169/2009, de 9 de julio (FJ 3), establece un criterio que, predicado de los miembros de las corporaciones provinciales, puede, sin duda, ser trasladado a las funciones de representación que son propias de un concejal. Así, señalamos en la citada Sentencia que “entre las funciones que pertenecen al núcleo inherente a la función representativa que constitucionalmente corresponde a los miembros de una corporación provincial se encuentran la de participar en la actividad de control del gobierno provincial, la de participar en las deliberaciones del pleno de la corporación, la de votar en los asuntos sometidos a votación en este órgano, así como el derecho a obtener la información necesaria para poder ejercer las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debemos rechazar la inconstitucionalidad del tercer párrafo del art. 73.3 LBRL, propugnada en el Auto de planteamiento de la presente cuestión de inconstitucionalidad. En efecto, definido en los términos ya señalados el sentido del precepto legal cuestionado, es claro que la garantía que proporciona el art. 23.2 CE no se ve vulnerada en un supuesto como el planteado por el órgano judicial promotor de esta cuestión de inconstitucionalidad. El órgano judicial considera que el precepto cuestionado vulnera el art. 23 CE, en la medida en que impide al representante no adscrito ser elegido, por el Alcalde de la corporación, miembro de la Junta o comisión de gobierno y Teniente de Alcalde, cuando el resto de concejales de la corporación pueden optar a dichos cargos. Como señala el Fiscal General del Estado en su escrito de alegaciones, los aspectos a los que se refiere concretamente el Auto de planteamiento de esta cuestión de inconstitucionalidad —pertenencia a la Junta o comisión de gobierno y designación como Teniente de Alcalde— no están incluidos en el núcleo básico del mandato representativo y constituyen aspectos de la organización y estructura consistorial dentro de las potestades, no ilimitadas, del Alcalde. En efecto, tales nombramientos dependen de la voluntad de un tercero, el Alcalde de la corporación, voluntad que ha de ser ejercida en los términos y condiciones determinados al respecto por la Ley de bases de régimen local (arts. 23.1 y 125.1).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hemos de concluir que el nombramiento para cargos relacionados con el gobierno y la administración del municipio no se integra en el núcleo esencial de las funciones representativas del concejal. Se trata de ámbitos ajenos al ejercicio de la función representativa atribuida al mismo, lo que determina que el art. 23 CE no se vea aquí vulnerado.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Luis Ignacio Ortega Álvarez a la Sentencia relativa a la cuestión de inconstitucionalidad núm. 1490-2010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formulo el presente Voto concurrente por cuanto, pese a que comparto plenamente el fallo y la casi totalidad de la fundamentación del texto aprobado también con mi voto por la mayoría de este Tribunal, me siento en la obligación de exponer mi discrepancia en un aspecto concreto del mismo a fin de ser coherente con la posición mantenida durante su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ninguna duda me ofrece la conclusión a la que llega la Sentencia en el sentido de que el derecho fundamental protegido en el art. 23.2 CE no se ve concernido por la regulación establecida en el tercer párrafo del art. 73.3 LBRL. Sin embargo estimo que la Sentencia, cuya conclusión comparto, debía haber apurado las posibilidades de colaboración entre la jurisdicción constitucional y los órganos judiciales que ofrece un proceso con las características de la cuestión de inconstitucionalidad y, en tal sentido, avanzar un paso mas en la línea de razonamiento que se expresa en la Sentencia descartando la posibilidad de una interpretación del precepto cuestionado como la que se apunta en el Auto de planteamiento de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sentido toda su argumentación parte de una premisa, ya presente en la demanda que dio origen al proceso a quo, premisa que no es otra que entender que el párrafo tercero del art. 73.3 LBRL es de aplicación al supuesto de hecho que se plantea en la demanda, consistente básicamente en la integración en un nuevo equipo de gobierno municipal de un concejal que tiene la condición de no adscrito por haber abandonado previamente su grupo de procedencia. Dicho en otros términos es la interpretación que el órgano judicial, siguiendo lo señalado por el Abogado del Estado en su demanda, propone del precepto que cuestiona la que determina su aplicabilidad y, como consecuencia, su relevancia para la resolución del caso sometido a su enjuiciamiento. Dicha interpretación se centra en considerar que el párrafo tercero del art. 73.3 LBRL impediría que el concejal no adscrito fuese nombrado para determinados cargos en el equipo de gobierno municipal que no hubiera venido ostentando con anterioridad a su tránsito a la referida condición de no adscrito, impedimento o limitación que, a su vez, afectaría al núcleo del derecho al ejercicio de cargos públicos protegido por el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no son claras las razones que llevan al órgano judicial a sostener dicha interpretación, ya que la misma hace entera abstracción del precepto en su conjunto y subsume el supuesto de hecho sometido la consideración del órgano judicial en una previsión legal que, atendiendo a su contenido e interpretación sistemática, resulta ajena a aquél y, a partir de ahí, afirma la inconstitucionalidad de esa norma legal por vulnerar el art. 23.2 CE, vulneración que es correctamente rechazada en nuestra Sentencia, pese a lo cual estimo que la cuestión que se planteaba carecía de base en la medida en que la interpretación del precepto de la que se partía para plantearla es, a mi juicio, claramente cuestionable y de ello debería haberse dejado constancia también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el examen del precepto legal cuestionado permite, en mi criterio, rechazar la interpretación del sentido y alcance del tercer párrafo del art. 73.3 LBRL propugnado en el Auto de planteamiento de la presente cuestión de inconstitucionalidad. El precepto tiene a mi entender un sentido normativo claro pues introduce en nuestra legislación la figura del concejal no adscrito estableciendo la previsión de que, junto a los grupos políticos, puedan existir en una corporación local miembros no adscritos a ninguno de esos grupos, figura ésta del concejal no adscrito que también recoge la Ley de las Cortes Valencianas 8/2010, de 23 de junio, de régimen local de Valencia, en su art. 134.4 sin que la LBRL (ni tampoco la Ley de las Cortes Valencianas 8/2010) reconozca a tales concejales derecho alguno ni a constituir un nuevo grupo ni a integrarse en alguno de los existentes en la corporación. De este modo respecto a estos concejales no adscritos es posible predicar la inexistencia del derecho-deber de integrarse en un grupo político que, en principio, pesa sobre los restantes miembros de la corporación local. Directamente relacionada con tal imposibilidad de formar un nuevo grupo o integrarse en alguno de los existentes la norma establece además la limitación que ahora se cuestiona, la cual impide que los derechos económicos y políticos de los miembros no adscritos puedan ser superiores a los que ostentaban en su calidad de miembros del grupo en el que deberían haberse integrado o bien del grupo de procedencia que han abandonado.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Fácilmente se aprecia que nada de esto sucede en el proceso a quo en el que lo cuestionado han sido las resoluciones de la Alcaldía por las que se ha nombrado a un concejal no adscrito como miembro de la Junta de gobierno local, cuarto Teniente de Alcalde y Concejal delegado de medio ambiente y desarrollo sostenible, nombramientos todos ellos que no tienen porqué vincularse a la pertenencia a un determinado grupo municipal ni mucho menos, como se razona en la Sentencia, se integran en el ius in officium propio del concejal. Es por ello posible concluir que el diferente marco regulador establecido para los concejales no adscritos respecto a aquellos integrados en los grupos, consistente fundamentalmente en la imposibilidad de constituir un nuevo grupo municipal o integrarse en alguno de los existentes, con la consiguiente pérdida de facultades o beneficios que ello conlleva, encuentra su justificación precisamente en la falta de encuadramiento o el abandono del grupo político constituido por la formación electoral en cuyas filas concurrieron a las elecciones y por la que fueron elegidos. Esta falta de equiparación del concejal no adscrito con respecto a los integrados en el correspondiente grupo político está sometida a mayores concreciones en la forma que determine el reglamento orgánico municipal y supone otorgar relevancia jurídica a conductas que entran en contradicción con la, en principio, previsible adscripción al grupo político constituido por los representantes de la formación política con la que se concurrió a las elecciones.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el precepto cuestionado encuentra su pleno sentido en relación con la pérdida de facultades o beneficios que se derivan de la pertenencia a un grupo sin que haga referencia a cuantas facultades tiene atribuidas el concejal al servicio de la función representativa que desempeña, esto es, conservando los derechos de ejercicio individual que, como a todo concejal miembro de la corporación, le corresponden en su condición de representante político (en tal sentido, STC 169/2009, de 9 de julio, FJ 5). Así, es claro que el precepto modifica la posición del concejal, en cuanto que, al ser calificado legalmente como no adscrito, deja de ser miembro de un grupo político de los que integran la corporación con la consiguiente pérdida de facultades o beneficios vinculados a la previa pertenencia a un concreto grupo político pero, al no afectar al núcleo de las funciones representativas del concejal, no priva al representante de las facultades inherentes a su cargo. Limitación que, en cuanto relativa a la pertenencia al grupo político, lo que impide es que los concejales no adscritos puedan percibir o beneficiarse de los recursos económicos y materiales puestos a disposición de los grupos políticos de la corporación [así, lo dispuesto en el propio art. 73.3, segundo párrafo, LBRL; arts. 27 y 28 del reglamento de organización, funcionamiento y régimen jurídico de las entidades locales o, en el mismo sentido que los citados, art. 135.3 de la Ley de las Cortes Valencianas 8/2010] y que, por otro lado, tampoco puedan ejercer o intervenir en las actividades que, conforme a la propia legislación de régimen local, se canalizan a través de dichos grupos (al respecto, por ejemplo, imposibilidad de presentar individualmente mociones o propuestas de resolución o no integración en la junta de portavoces, arts. 114, 116 y 118 y 135 y 136, respectivamente, de la Ley de las Cortes Valencianas 8/2010).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los nombramientos discutidos en el proceso a quo resultan completamente ajenos al ámbito al que se viene haciendo referencia pues, en tanto que relacionados con la organización y estructura del gobierno municipal, dependen de la voluntad un tercero, el Alcalde de la corporación, voluntad ejercida en los términos y condiciones determinados por la ley (al respecto, arts. 23.1, 20.2 y 23.3 y 23.4 LBRL, respectivamente), esto es, con el único límite, en este caso, de que los nombrados hayan de ser concejales del Ayuntamiento. Resulta entonces que del estatuto jurídico de los miembros no adscritos no puede deducirse limitación alguna a este respecto dado que se deriva de lo dispuesto en el párrafo cuestionado —que sus derechos económicos y políticos no sean superiores a los que hubieran correspondido de permanecer en el grupo de procedencia— no se refiere a los que se ostentaban en tanto que vinculados a la condición de concejal sino solamente a aquellos que lo eran en atención a la cualidad de miembro de uno de los grupos municipales sin afectar, por tanto, ni al derecho a ejercer las funciones de concejal en condiciones de igualdad, derecho que, por lo demás, no puede extenderse hasta alcanzar a la configuración del equipo de gobierno municipal ni tampoco al derecho de los ciudadanos a participar en los asuntos públicos por medio de representantes democráticamente elegidos. De esta forma es claro que, tal y como nuestra doctrina ha definido la función representativa que constitucionalmente corresponde a los representantes en las corporaciones locales, el nombramiento para cargos relacionados con el gobierno y la administración del municipio en nada afecta a la relación jurídica representativa del concejal con independencia de que el mismo se encuentre integrado en un grupo político o tenga la condición de no adscrito, en cuanto que se trata de ámbitos ajenos al ejercicio de la función representativa atribuida al concejal, lo que determina que el art. 23.2 CE no se vea aquí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considero que los reproches dirigidos al precepto cuestionado se asientan sobre la premisa de que el mismo, al limitar indebidamente las eventuales atribuciones que corresponden al concejal no adscrito en razón de su condición legal, podría vulnerar el art. 23 CE, por lo que entiendo que una vez negada la premisa de este razonamiento, en los términos que han quedado expuestos, quedaba manifiestamente desprovista de fundamento la cuestión de inconstitucionalidad planteada, extremo que debería haberse establecido claramente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enero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