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las dos penas privativas de libertad de nueve meses de prisión impuestas al recurrente en la sentencia de 24 de noviembre de 2008 dictada por la Sección Tercera de la Audiencia Provincial de Cádiz.</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los restantes pronunciamientos.</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febrero de 2009 se presentó por la representación procesal de don Francisco Real Granado recurso de amparo, por vulneración del derecho a un proceso con todas las garantías (art. 24.2 CE), y correlativamente de los derechos fundamentales a la tutela judicial efectiva e interdicción de la indefensión (art. 24.1 CE) y a la presunción de inocencia (art. 24.2 CE), contra la Sentencia 407/2008, de 24 de noviembre, de la Sección Tercera de la Audiencia Provincial de Cádiz que, estimando parcialmente el recurso de apelación de la acusación particular contra la Sentencia 297/2007, de 29 de octubre, del Juzgado de lo Penal núm. 4 de Cádiz, condena al recurrente como autor de los delitos de maltrato familiar ex art. 153 del Código penal (CP) (“el acusado para hacerla desistir de su propósito la agarró por el brazo con violencia y se lo retorció”) y de coacciones a su esposa ex art. 172.2 CP (“con la finalidad de incomodarla … mandó cambiar la cerradura de la puerta de comunicación interior de la vivienda con el garaje”), imponiéndole dos penas privativas de libertad de nueve meses de prisión, dos penas de privación del derecho de tenencia y porte de armas por tiempo de un año y un día, y dos penas de prohibición de aproximación y comunicación con la víctima por tiempo de un año y nueve meses, así como al pago de las costas causadas en la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tras exponer los antecedentes fácticos y procesales, considera el recurrente que se ha lesionado su derecho a un proceso público con todas las garantías por la condena en segunda instancia, dado que el tribunal de apelación revisa los hechos probados sin practicar al efecto más prueba que una documental consistente en un informe médico de uno de los testigos, y fundando la condena en una nueva y distinta valoración de las pruebas personales practicadas en la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mediante otrosí digo de la demanda de amparo, solicita “la suspensión de la ejecución de la sentencia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sendas providencias de la Sala Segunda del Tribunal Constitucional de 12 de diciembre de 2011 se acordó admitir a trámite la demanda presentada por el señor Real y formar pieza separada sobre el incidente de suspensión, dando traslado por término de tres días a la recurrente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20 de diciembre de 2011 el Fiscal ante el Tribunal Constitucional interesa la suspensión de las penas privativas de libertad, pues al ser de corta duración (18 meses en total) probablemente se cumplan durante la tramitación del presente recurso de amparo haciendo ilusorio el recurso. Por el contrario, considera que no deben ser suspendidas el resto de penas, de un lado porque el recurrente no ha alegado el carácter irreparable del perjuicio que le supondría la concesión de la medida cautelar, y de otro porque dichas penas tienen por objeto proteger tanto la integridad física de la víctima como el interés general en la seguridad. En fin, a juicio del Fiscal, el pago de las costas causadas en la primera instancia, dado su contenido meramente económico, tampoco debe ser suspendido.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 la representación procesal del señor Real, registradas el 20 de diciembre de 2011, se limitan a argumentar a favor de la suspensión de las dos penas privativas de libertad de nueve meses de prisión y concluyen suplicando que “se tenga por solicitada la suspensión de la ejecución de la pena de prisión impuesta a mi representado en la sentencia de 24 de noviembre de 2008 dictada por la Sección Tercera de la Audiencia Provincial de Cádiz”. En este sentido, se afirma que “puesto que estamos ante una pena de corta duración, que con toda seguridad ya se habrá cumplido al dictarse la sentencia de amparo si no se adopta la medida cautelar … ha de concluirse que no suspender su ejecución ocasionaría un perjuicio irreparable, que privaría en parte, incluso en todo, de eficacia a un eventual fallo estimatorio. … Por otra parte, la propia duración de la pena y el pleno cumplimiento de sus obligaciones por mi representado a lo largo de todo el curso del proceso, hacen inapreciable el riesgo de fuga”.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 No obstante, este criterio no es absoluto,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Refiriéndonos en particular a delitos de análoga naturaleza a aquellos por los que fue condenado el recurrente, aunque en los AATC 53/2003 y 16/2008 se denegó la suspensión de la pena privativa de libertad por entender que en los supuestos considerados estaba presente un riesgo para la víctima, en otros casos la doctrina constitucional ha aplicado reiteradamente la regla general expuesta más arriba y atendiendo a las circunstancias del caso ha concedido las suspensiones solicitadas (AATC 111/2008, de 14 de abril; 167/2008, de 23 de junio, y 25/2009, de 26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también es doctrina de este Tribunal la improcedencia de la suspensión de las resoluciones judiciales con efectos meramente patrimoniales o económicos, al no derivarse de las mismas perjuicios irreparables y por lo mismo no ocasionar que el recurso de amparo pueda perder su finalidad, por más que su ejecución pueda producir efectos desfavorables a quien demanda el amparo, de los que se podrá resarcir, en caso de estimarse, mediante la restitución íntegra de lo ejecutado (por todos AATC 53/2009, de 23 de febrero, FJ 3; y 171/2009, de 1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que se solicita por el demandante de amparo la suspensión respecto de los pronunciamientos condenatorios de la Sentencia recurrida, si bien de la lectura tanto de la demanda de amparo como del posterior escrito presentado en la pieza del incidente de suspensión parece ceñir su petición a las penas privativas de libertad que ascienden en total a dieciocho meses. En cualquier caso, resulta procedente responder al conjunto de los pronunciamientos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las dos penas privativas de libertad de nueve meses cada una resulta de plena aplicación al supuesto examinado la doctrina general y reiterada de este Tribunal de que la ejecución de las penas privativas de libertad puede ocasionar al recurrente perjuicios irreparables que harían perder al amparo su finalidad, porque la pérdida de la libertad es irreparable y no puede restituirse (AATC 98/1983, de 9 de marzo; 179/1984, de 21 de marzo; 574/1985, de 7 de agosto; 301/1995, de 6 de noviembre; 321/1995, de 7 de diciembre; 152/1996, de 10 de junio; 163/1996, de 24 de junio y otros muchos), particularmente en un caso como éste en que es previsible que hasta la resolución de este recurso transcurra una parte importante o incluso la totalidad de los dieciocho meses a que ascienden las penas privativas de libertad impuestas. En este caso, además, la naturaleza de los hechos y la entidad de la pena, que son índices objetivos tanto de la magnitud del interés general en su ejecución como del especial peligro de nueva agresión que puede afectar a la víctima, aconsejan también acordar la suspensión. En su virtud procede, en consonancia con lo solicitado por el Ministerio Fiscal, estimar la pretensión de suspensión de la Sentencia en cuanto al cumplimiento de las citadas penas privativas de libertad impuestas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prohibición de aproximación, comunicación o acercamiento a su ex esposa, y a la privación del derecho y porte de armas, debe matizarse el criterio antes expuesto de irreparabilidad del perjuicio derivado de la pérdida o restricción de libertad, no sólo porque en este caso no tiene el mismo alcance que la pena de prisión, sino también atendiendo al bien jurídico protegido de evitar la posible desprotección de las víctimas, circunstancias que han sido tomadas en cuenta por este Tribunal para atemperar aquél criterio (AATC 53/2003, de 10 de febrero; 247/2003, de 14 de julio, y 4/2005, de 17 de enero). Así, en el citado ATC 53/2003, hemos fundado tal conclusión en que “la imposición en la Sentencia de la pena de alejamiento de la víctima tiene por objeto proteger la integridad física de aquélla —que constituye, asimismo, un derecho fundamental— frente a eventuales nuevos ataques, y que la restricción de la libertad ambulatoria del actor a dicha pena es mínima”. Por tanto no procede la estimación de la suspensión de la pena de alejamiento, ni de la prohibición de tenencia de armas, a la que pueden hacerse extensivos los anteriores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en relación con la indemnización civil, este Tribunal viene manteniendo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y 574/1985, de 7 de agosto; 275/1990, de 2 de julio; 287/1997, de 21 de julio; 185/1998, de 14 de septiembre; 106/2002, de 17 de junio y 119/2003, de 9 de abril,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las dos penas privativas de libertad de nueve meses de prisión impuestas al recurrente en la sentencia de 24 de noviembre de 2008 dictada por la Sección Tercera de la Audiencia Provincial de Cádiz.</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suspensión de los restantes pronunciamientos.</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