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2516-2010, promovido por don Jorge González Endemaño, representado por el Procurador de los Tribunales don José Javier Cuevas Rivas y asistido por la Abogada doña Haizea Ziluaga Larreategi, contra el Auto de 21 de enero de 2010 de la Sala Segunda del Tribunal Supremo y contra los Autos de 29 de junio y 6 de mayo de 2009 dictados por la Sección Tercera de la Sala de lo Penal de la Audiencia Nacional. Ha intervenido el Ministerio Fiscal.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marzo de 2010, el Procurador de los Tribunales don José Javier Cuevas Rivas, en nombre y representación de don Jorge González Endemaño,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González Endemaño fue condenado por la Sala de lo Penal de la Audiencia Nacional, Sección Tercera, mediante Sentencia de 14 de julio de 1998 (rollo de Sala 56-1995, sumario 54-1995 del Juzgado Central de Instrucción núm. 4), en calidad de autor de los delitos de atentado en relación con el de asesinato, de asesinato frustrado y de tenencia ilícita de armas a las penas de treinta, veinte y tres años de prisión, respectivamente, afirmándose en su fundamento de Derecho primero que la legislación más favorable es la del Código penal (CP) de 1973 porque “imponiendo penas muy similares al del actualmente vigente, sin embargo permite una reducción muy sensible de las mismas por medio de las reducciones ordinarias y extraordinarias que regula”. El señor González Endemaño fue condenado también, por Sentencia de la misma Sala y Sección de la Audiencia Nacional de 3 de diciembre de 2001 (rollo de Sala 84-1996, Sumario 70-1996 del Juzgado Central de Instrucción núm. 4), como autor de los delitos de integración en banda armada, de depósito de armas y de tenencia de explosivos a la penas de diez, siete y siete años de prisión,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Juez de vigilancia penitenciaria núm. 1 de Andalucía suscribió liquidación de condena de fecha 8 de noviembre de 2001, en la que se aprueba una propuesta de redención de penas por el trabajo, sin indicar si esa reducción se aplicará al límite de cumplimiento o a cada una de las penas. Posteriormente, la Sección Tercera de la Sala de lo Penal de la Audiencia Nacional, luego de rectificar un error material en la suma de las condenas impuestas por la segunda Sentencia (veinticuatro años), aprueba liquidación de condena de fecha 10 de diciembre de 2002 en la que se indica que dichas penas comenzarán a cumplirse el 8 de enero de 2025 y, en consecuencia, su cumplimiento será el 1 de enero de 2049, acusando recibo de esa liquidación el Director del centro penitenciario mediante escrito de 9 de enero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recibido el 11 de febrero de 2009 el interno Jorge González Endemaño interesa de la Sala la determinación del límite máximo de treinta años de cumplimiento de las penas impuestas en las Sentencias condenatorias referidas ut supra. La Sala de lo Penal de la Audiencia Nacional, Sección Tercera, acordó por Auto de 6 de mayo de 2009 “[a]cumular todas las penas de prisión impuestas en las Sentencias dictadas por esta Sección Tercera nº 31/98, de 14 de julio (Ejec. 27/01), y nº 29/01, de 3 de diciembre (Ejec. 30/02), relacionadas en los antecedentes de esta resolución para su cumplimiento sucesivo por el penado, con la limitación del máximo de cumplimiento de treinta años de prisión y con sujeción a lo expresado en el precedente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este Auto se formuló recurso de súplica, desestimado por Auto de la misma Sala y Sección de 29 de junio de 2009. A su vez contra este otro Auto se dedujo recurso de casación, inadmitido por Auto de 21 de enero de 2010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los siete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tutela judicial efectiva sin indefensión (art. 24.1 CE) y de los derechos a la defensa, a ser informado de la acusación y a un proceso con todas las garantías (art. 24.2 CE), así como de los derechos reconocidos por los arts. 6 y 13 del Convenio europeo para la protección de los derechos humanos y las libertades fundamentales (CEDH) y por el art. 14.1 y 5 del Pacto internacional de derechos civiles y políticos (PIDCP), todo ello en relación con el derecho a la libertad (art. 17 CE). Sostiene el recurrente que la Audiencia Nacional acordó en las resoluciones impugnadas la aplicación de la nueva doctrina de la Sala de lo Penal del Tribunal Supremo sentada en la Sentencia núm. 197/2006, de 20 de febrero, que establece un nuevo criterio en cuanto al cómputo de las redenciones por trabajo que empeoraba la situación del reo y obliga al cumplimiento íntegro de la condena de treinta años, decisión de la que el recurrente no ha podido defenderse ni someterla 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aduce la vulneración del principio de legalidad (art. 25 CE, en relación con el art. 9.3 CE), por la interpretación realizada por la Audiencia Nacional de los arts. 70.2 y 100 CP 1973, así como de los arts. 66 del reglamento de prisiones de 1956 y del art. 202 del reglamento penitenciario actual. Según el recurrente la interpretación sentada por la Sala de lo Penal del Tribunal Supremo en su Sentencia núm. 197/2006, de 20 de febrero, y aplicada en el presente caso por la Audiencia Nacional,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denuncia el recurrente la vulneración del derecho a la tutela judicial efectiva sin indefensión (art. 24.1 CE), en cuanto garantiza la intangibilidad de las resoluciones judiciales firmes, en relación con el derecho a la libertad (art. 17.1 CE). Sostiene el recurrente que la nueva interpretación del cómputo de las redenciones sobre la totalidad de la condena que realiza la Sala de lo Penal del Tribunal Supremo en su Sentencia núm. 197/2006, de 28 de febrero, aplicada en su caso por la Audiencia Nacional en las resoluciones impugnadas en amparo, le genera indefensión e inseguridad jurídica, puesto que las redenciones aprobadas por los Juzgados de Vigilancia Penitenciaria (en su caso, el Auto de 8 de noviembre de 2001 del Juez de vigilancia penitenciaria núm. 1 de Andalucía), intangibles y firmes, aplicadas (como se venía haciendo) al tope de treinta años, suponían una expectativa de importante acortamiento de su condena. Además, argumenta que la Sentencia de 14 de julio de 1998 de la Sala de lo Penal de la Audiencia Nacional, Sección Tercera, estableció de modo firme e intangible que las redenciones por trabajo se aplicaban a la fecha límite de cumplimiento, pues se lee en su fundamento de derecho primero que la legislación más favorable es la del Código penal de 1973 porque “imponiendo penas muy similares al del actualmente vigente, sin embargo permite una reducción muy sensible de las mismas por medio de las reducciones ordinarias y extraordinarias que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aduce la lesión del principio de legalidad (art. 25.1 CE, en relación con el art. 9.3 CE, así como el art. 7 CEDH y el art. 15 PIDCP), por aplicación retroactiva de una ley desfavorable. Se denuncia por el recurrente que las resoluciones judiciales impugnadas, al seguir el nuevo criterio establecido por la Sala de lo Penal del Tribunal Supremo en su Sentencia núm. 197/2006, de 20 de febrero, están aplicando retroactivamente el art. 78 CP 1995 a un penado bajo el Código penal de 1973, norma ésta que el recurrente considera como ley más favorable, en la medida en que las redenciones incidían sobre la liquidación de condena, acortando el tiempo de internamiento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alega la lesión del derecho a la igualdad en la aplicación de la ley (art. 14 CE), en relación con el art. 14 CEDH. Denuncia el recurrente que las resoluciones judiciales impugnadas incurren en un injustificado y arbitrario cambio de criterio al aplicar la Sentencia de la Sala de lo Penal del Tribunal Supremo núm. 197/2006, de 20 de febrero, que rompe con la jurisprudencia anterior al respecto, en un momento en que el Código penal de 1973 ya está derogado y resulta aplicable a un número muy limitado de internos, sin que existan razones que justifiquen dicho cambio de criterio. Se afirma que se trata de cambio de criterio ad personam, constitucionalmente vedado, del que resulta que al recurrente se le deniega de manera discriminatoria lo que a otros muchos presos se les concedió.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sexto motivo de amparo se alega la vulneración del derecho a la libertad (art. 17.1 CE), en relación con los arts. 5 y 7.1 CEDH y los arts. 9.1 y 5 y 15.1 PIDCP. Tras resaltar que, conforme a la doctrina de este Tribunal, la redención de penas por el trabajo afecta al derecho a la libertad personal, se sostiene por el recurrente, con cita del Voto particular a la Sentencia de la Sala de lo Penal del Tribunal Supremo núm. 197/2006, de 20 de febrero, que el mencionado cambio de criterio jurisprudencial contra reo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alega la vulneración del art. 25.2 CE, en relación con las “Reglas mínimas para tratamiento de los reclusos” elaboradas en el primer Congreso de las Naciones Unidas sobre prevención del delito y tratamiento del delincuente (Ginebra, 1955) y el art. 10.3 PIDCP. Se aduce que, de conformidad con el art. 25.2 CE y la citada normativa internacional, las penas privativas de libertad han de estar orientadas a la reinserción social, fin al que se orienta la redención de penas por el trabajo como instrumento de tratamiento penitenciario, principios y normas que resultan vulnerados por la interpretación realizada por el Tribunal Supremo en su Sentencia núm. 197/2006, de 20 de febrero, aplicada por la Audiencia Nacional en las resoluciones impugnadas en amparo, al dejar sin efecto útil alguno la redención de penas y la libertad condicional en presos con condenas superiores a cuarenta y cinco años (conforme a los cálculos realizados por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abril de 2011 la Sala Segunda de este Tribunal acordó la admisión a trámite de la demanda de amparo y, a tenor de lo dispuesto en el art. 51 de la Ley Orgánica del Tribunal Constitucional (LOTC), requerir atentamente a la Sección Tercera de la Sala de lo Penal de la Audiencia Nacional para que en el plazo de diez días remitiera testimonio de las ejecutorias referidas ut supra, interesándose al propio tiempo el emplazamiento de quienes fueron parte en el procedimiento, a excepción del demandante de amparo, ya personado, para que pudieran comparecer en el plazo de diez días en el presente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Segunda de 14 de junio de 2011 se tuvo por personada y parte en el procedimiento a la Procuradora doña María Esperanza Álvaro Mateo en nombre y representación de la Asociación de Víctimas del Terrorismo, y asimismo se procedió, conforme a lo establecido en el art. 52.1 LOTC, a dar vista de las actuaciones por plazo común de veinte días al Ministerio Fiscal y a las partes personadas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Asociación de Víctimas del Terrorismo presentó su escrito de alegaciones en este Tribunal el 15 de julio de 2011, oponiéndose a todos los motivos de amparo en el mismo orden que los expuso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primer término, que la acumulación de penas acordada en el Auto de 6 de mayo de 2009 fue a instancia del recurrente, formulada por él cuando ya era de público conocimiento que la Sala de lo Penal del Tribunal Supremo en su Sentencia núm. 197/2006, de 28 de febrero, había fijado un nuevo criterio sobre la aplicación de los beneficios penitenciarios, de modo que no se puede decir que no haya podido alegar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también que las resoluciones impugnadas, aun cuando interpretan los criterios para liquidar los beneficios penitenciarios de un modo menos favorable al recurrente que antes de la citada STS 197/2006, lo hacen “respetando en todo momento el derecho del penado establecido en el Código Penal a que dicho límite [el límite de 30 años de estancia en prisión] no sea superado. De esta manera las resoluciones recurridas son ajustadas a derecho y respetuosas con los principios de legalidad penal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incide en que “los autos recurridos no modifican en ningún momento el límite máximo de cumplimiento de prisión fijado en treinta años ni anula las redenciones que han sido aprobadas por los Juzgados de Vigilancia Penitenciaria, simplemente determina la forma en la que dichas redenciones deben de ser aplicadas sin contradecir resoluciones judiciales firmes. Asimismo ocurre con las sentencias por las que fue condenado el Sr. Jorge González… Dichas sentencias hablan del límite máximo de estancia en prisión del Sr. Jorge González que en ningún caso deberá exceder los treinta años, sin hablar en ningún momento de la forma en que deben de ser aplicados los beneficios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nos encontramos, sigue diciendo, “ante la aplicación con carácter retroactivo de una norma penal desfavorable, nos encontramos en todo caso ante un cambio jurisprudencial que afecta no a la aplicación de un precepto legal sino a la interpretación sobre la aplicación que debe de hacerse de los beneficios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opone a que se haya vulnerado el derecho a la igualdad ante la ley, pues “la interpretación llevada a cabo por el tribunal Supremo en su sentencia nº 197/2006 no es una interpretación ni arbitraria, ni irrazonable ni ilógica y ha sido dictada en el ejercicio de la función jurisdiccional que le corresponde sobre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fundar su oposición al motivo sexto de amparo se remite a lo argumentado en las consideraciones tercera y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por lo que hace a la alegada lesión del art. 25.2 CE, arguye que “la reinserción no es el fin único de la pena sino que debe de ser armonizado junto con otros fines como pueden ser el de protección social”. Además, si bien “es cierto que los beneficios penitenciarios están orientados a una finalidad resocializadora del interno … esa finalidad es orientativa de la forma de ejecutar la condena, no de su extensión. Ésta, la extensión de la condena, está sometida a la prohibición de tratos inhumanos o degradantes, como sería el caso de la cadena perpetua no revisable.”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 escrito de alegaciones en este Tribunal el 18 de julio de 2011, en el que ratifica las formuladas en la demanda de amparo, las cuales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en este Tribunal su escrito de alegaciones el 19 de julio de 2011, interesando la desestimación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sosteniendo que el primero de los motivos de amparo recogidos en la demanda carece manifiestamente de fundamento “desde el mismo momento en que, por dos ocasiones, la representación del actor ha hecho uso efectivo de este derecho a ser oído, en primer lugar, cuando interpuso recurso de súplica contra el auto de 6 de mayo de 2009” y posteriormente cuando recurrió en casación el Auto de 29 de junio de 2009, formulando en ambas ocasiones las alegaciones que tuvo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por razones sistemáticas procede abordar el resto de motivos de modo distinto al propuesto en la demanda de amparo. Es por ello que empieza por el examen del séptimo y último motivo expuesto, relativo a la vulneración del principio de legalidad penal (art. 25.2 CE) en el enunciado relativo al carácter rehabilitador y de reinserción social que deben tener las penas señaladas en el Código Penal. En opinión del Ministerio Fiscal este motivo debe ser rechazado a limine porque el art. 25.2 CE no contiene un derecho fundamental del ciudadano susceptible de ser invocado en amparo, sino más bien un mandato destinado al legislador para orientar la política penal y penitenciaria. Además, la queja del recurrente no se centra en el contenido de los preceptos legales o reglamentarios, sino en la interpretación que de los mismos realiza la Audiencia Nacional, por lo que este motivo de amparo carece de autonomía y debe vincularse a otras infracciones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el Ministerio Fiscal que los motivos segundo y cuarto tengan suficiente eficacia suasoria. De un lado, “no parece que en el caso de autos, y a los efectos de una posible vulneración del principio de legalidad (art. 25.1) la interpretación que las resoluciones judiciales ahora recurridas en amparo hacen del art. 70.2 CP 1973 en exégesis derivada de la STS (Pleno de la Sala 2ª TS) 197/2006, de 28 de febrero, se base en una subsunción ajena al significado posible de los términos de la norma aplicada o se base en una argumentación ilógica o indiscutiblemente extravagante o ajena a los criterios que informan nuestro ordenamiento constitucional o conduzcan a soluciones esencialmente contrarias u opuestas a la orientación material de la norma y por ello imprevisible para sus destinatarios (por todas, SSTC 151/2005, de 6 de junio y 283/2006, de 9 de octubre), sin que corresponda por ende al Tribunal Constitucional dilucidar, como acontece en el caso de autos, cuál de las posibles interpretaciones o criterios jurisprudenciales es el más adecuado a la norma en juego”. De otro, “no tiene fundamento alguno sostener que se han vulnerado dicho principio de irretroactividad de la ley penal por haber hecho aplicación del contenido del art. 78 CP1995 bajo el ropaje aparente del art. 70.2 CP1973, toda vez que el precepto que se ha aplicado ha sido siempre el art. 70.2 CP1973, de vigencia al tiempo de comisión de los hechos, y sobre el que ha recaído la interpretación sentada en la Sentencia de la Sala de lo Penal del Tribunal Supremo núm. 197/2006, de 20 de febrero, y no el art. 78 CP1995”.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la denunciada vulneración del derecho a la igualdad en la aplicación de la ley (art. 14 CE). En primer lugar, porque el órgano judicial que ha dictado las resoluciones impugnadas (la Audiencia Nacional) es distinto de aquel que sentó la doctrina supuestamente discriminatoria (el Tribunal Supremo). Y, en segundo lugar, porque en todo caso la Sentencia de la Sala Segunda del Tribunal Supremo a la que se atribuye el cambio de criterio había recogido un conjunto de razonamientos en interpretación de la legalidad aplicable al caso que, desde la perspectiva de la racionalidad, justifican dicho eventual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 conjuntamente a los derechos fundamentales alegados en los motivos tercero y sexto. Afirma que “es evidente que el núcleo del problema reside en que la Sección 3ª de la Sala de lo Penal de la Audiencia Nacional asume en las resoluciones objeto de la demanda de amparo los criterios expresados por la Sala Segunda del Tribunal Supremo en su sentencia del Pleno, STS 197/2006, de 28 de febrero”. Y acto seguido que “en el presente caso no puede hablarse, a diferencia de otros similares, de la posibilidad de sustentar el amparo en la vulneración del derecho fundamental a la intangibilidad de las resoluciones judiciales (art. 24.1 CE). Ello es así por cuanto en el caso que examinamos no ha existido resolución alguna previa que determinara, vía refundición o acumulación de condenas, no sólo el tiempo máximo de cumplimiento de conformidad con la regla 2 del art. 70 del CP 1973, sino los extremos de cómputo de los beneficios de redención de penas por el trabajo que le correspondiera por cada condena impuesta. Muy al contrario el actual demandante de amparo que fue condenado en dos sentencias, de 14 de mayo de 1998 y 3 de diciembre de 2001, en dos causas diferentes, ambas por la Sección 3ª de la Sala de lo Penal de la Audiencia Nacional, a diversas penas privativas de libertad, sólo interesó la refundición y la fijación de un tiempo máximo de cumplimiento de tales penas a la luz del art. 70.2 CP 1973 en un escrito manuscrito de fecha 3 de febrero de 2009 que desencadenó las resoluciones judiciales que ahora se impugnan en amparo. Hasta ese momento sólo se habían practicado sendas liquidaciones individualizadas de condena tanto por la Secretaría de la Sala y por el Centro Penitenciario de Algeciras en el que se encontraba interno el reo. Así y tras rectificar un error el CP aludido estableció el 9 de enero de 2002 (rectius 2003) la fecha de licenciamiento definitivo de aquél en una de las causas fijándola en el 1 de enero de 2049”.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propuesta de la Sala Segunda, el Pleno, en su reunión de 13 de septiembre de 2011 y conforme al art. 10.1 n) LOTC,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recurrente presentó en este Tribunal escrito de fecha 5 de diciembre de 2011 solicitando la suspensión de los efectos de la aplicación de la Sentencia del Tribunal Supremo 197/2006, de 28 de febrero, pues a su juicio está produciendo tal perjuicio al recurrente que hace perder al amparo su finalidad. El Pleno, mediante providencia de 20 de diciembre de 2011, acordó que “no ha lugar a lo solicitado en el mismo, toda vez que la suspensión interesada se refiere a una resolución judicial (STS 197/2006, de 28 de febrero) no recurrida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marzo de 2012, se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21 de enero de 2010 de la Sala Segunda del Tribunal Supremo que inadmitió el recurso de casación contra el Auto de 29 de junio de 2009 de la Sección Tercera de la Sala de lo Penal de la Audiencia Nacional, que a su vez desestimó el recurso de súplica presentado contra el Auto de 6 de mayo de 2009, por el que se acordó que las penas acumuladas impuestas al demandante se cumplieran sucesivamente con la limitación del máximo de cumplimiento de treinta años de prisión, sin perjuicio de las redenciones que le pudieran ser aplicadas en su día, conforme al criterio de la Sentencia núm. 197/2006, de 28 de febrero, de la Sala Segunda del Tribunal Supremo. Según dicha Sentencia, en caso de penas acumuladas la redención de penas por el trabajo obtenida ha de computarse sobre cada una de las penas impuestas y no sobre el límite máximo de cumplimiento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de las infracciones y sanciones (art. 25.1 y 25.2 CE), a la libertad personal (art. 17.1 CE) y a la igualdad en la aplicación de la ley (art. 14 CE), con los argumentos que han sido expuestos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desestimación del recurso por las razones reseñadas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representación procesal de la Asociación de Víctimas del Terrorismo solicita la desestimación del recurso con arreglo a las alegaciones relacionadas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articuladas en la demanda, bajo la invocación de los derechos a la tutela judicial efectiva (art. 24.1 CE) y a un proceso con todas las garantías (art. 24.2 CE), se denuncia sustancialmente la indefensión generada por el hecho de que la primera de las resoluciones recurridas se adoptó sin abrir un trámite de audiencia al condenado, pese a introducir una perspectiva jurídica novedosa en el cómputo de las redenciones de penas por el trabajo que empeoraba la situación del reo. Esta queja ha de ser inadmitida, al concurrir respecto de ella el óbice procesal de falta de invocación ante los órganos de la jurisdicción ordinaria [art. 44.1 c) de la Ley Orgánica del Tribunal Constitucional]. En efecto, de la mera lectura del recurso de súplica interpuesto contra el Auto de 6 de mayo de 2009 de la Sección Tercera de la Sala de lo Penal de la Audiencia Nacional se desprende que el recurrente articuló una serie de motivos de recurso para oponerse a esa nueva perspectiva jurídica en el cómputo de las redenciones (lo que excluiría según el Ministerio Fiscal la indefensión denunciada), pero no denunció entonces indefensión alguna, trayéndose ahora per saltum en amparo.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restantes motivos se denuncia —como ya anticipamos— desde diversas perspectivas constitucionales la cuestión de fondo, esto es, la aplicación al presente caso de un nuevo criterio jurisprudencial en la interpretación de los arts. 70.2 y 100 del Código penal (CP) de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si bien conforme al cómputo de las redenciones de penas por trabajo usado hasta ese momento el recurrente vería que las reducciones correspondientes al trabajo de los catorce años que van desde que entró en prisión preventiva hasta el Auto de 6 de mayo de 2009 se aplicarían al límite máximo de treinta años, en aplicación del nuevo criterio se restarían de la suma total de las penas impuestas (cincuenta y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de ello se deriva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A la vista de lo cual, hemos de comenzar precisando cuáles son los derechos fundamentales en juego y cuál ha de ser nuestro parámetro de enjuiciamiento en esta materia. No obstante, con carácter previo, conviene aclarar que no es objeto del presente recurso de amparo la Sentencia 197/2006, de 28 de febrero, dictada por la Sala Segunda del Tribunal Supremo, sino que nuestro examen se ha de limitar a la consideración de la respuesta judicial que para el caso concreto se contiene en las resoluciones recurridas, en las que se acuerda la aplicación del criterio de cómputo de las redenciones establecido con carácter previo por la citada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Dado que en el presente procedimiento no se impugna la Sentencia del Tribunal Supremo de 28 de febrero de 2006 no cabe entrar a examinar si ésta se ha apartado o no de sus precedentes vulnerando el art. 14 CE. Y por lo que respecta a las resoluciones impugnadas se limitan a aplicar la doctrina sentada en aquella Sentencia del Tribunal Supremo, máximo intérprete de la ley, justificando el cambio de criterio en el cómputo de las redenciones de penas por el trabajo, frente a otros supuestos resueltos con anterioridad, precisamente en la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el recurrente en las resoluciones de la Audiencia Nacional que se impugnan en el presente procedimiento de amparo vulneró su derecho a la tutela judicial efectiva (art. 24.1 CE) y como consecuencia de ello su derecho a la libertad (art. 17.1 CE), lo que —según se argumenta en los motivos de amparo tercero y sexto, fundamentalmente— habría sucedido al aplicar un nuevo criterio de cómputo de la redención de penas por el trabajo que ignora la existencia de una legítima expectativa, fundada en la previa actuación de la Administración penitenciaria y en resoluciones judiciales firmes e intangibles, de que las reducciones correspondientes al trabajo de los catorce años que van desde que entró en prisión preventiva hasta el Auto de 6 de mayo de 2009 se aplicarían al límite máximo de treinta años y no a la suma total de las penas impuestas (cincuenta y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respuesta a la anterior cuestión ha de ser negativa pues, como veremos, el análisis del extracto de la primera Sentencia condenatoria alegado por el recurrente y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González Endemaño fue condenado en julio de 1998 en calidad de autor de los delitos de atentado en relación con el de asesinato, de asesinato frustrado y de tenencia ilícita de armas a las penas de treinta, veinte y tres años de prisión, respectivamente. En el fundamento de Derecho primero de esa Sentencia se afirmó que la legislación más favorable es la del Código penal de 1973 porque “imponiendo penas muy similares al del actualmente vigente, sin embargo permite una reducción muy sensible de las mismas por medio de las reducciones ordinarias y extraordinarias que regula”.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Fue condenado también en diciembre de 2001 como autor de los delitos de integración en banda armada, de depósito de armas y de tenencia de explosivos a la penas de diez, siete y siete años de prisión,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Juez de vigilancia penitenciaria núm. 1 de Andalucía aprobó periódicamente las propuestas de redención de los centros penitenciarios, entre ellos el auto de liquidación de condena alegado por el recurrente de 8 de noviembre de 2001, en el que se aprueba una propuesta de redención de penas por el trabajo, sin indicar si esa reducción se aplicará al límite de cumplimiento o a cada una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Tercera de la Sala de lo Penal de la Audiencia Nacional, en tiempo en que aún no se había acordado la acumulación de las penas impuestas en las dos Sentencias, y dado que las de la primera condena terminarían de cumplirse el 8 de enero de 2025, aprueba liquidación de condena de fecha 10 de diciembre de 2002 en la que se indica que el cumplimiento de las impuestas por la segunda Sentencia se producirá el 1 de enero de 2049.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recibido el 11 de febrero de 2009 el interno don Jorge González Endemaño interesa de la Sala la acumulación de las penas impuestas en ambas Sentencias y la determinación del límite máximo de treinta años de cumplimiento. La Sala de lo Penal de la Audiencia Nacional, Sección Tercera, acordó por Auto de 6 de mayo de 2009 “[a]cumular todas las penas de prisión impuestas en las Sentencias dictadas por esta Sección Tercera nº 31/98, de 14 de julio (Ejec. 27/01), y nº 29/01, de 3 de diciembre (Ejec. 30/02), relacionadas en los antecedentes de esta resolución para su cumplimiento sucesivo por el penado, con la limitación del máximo de cumplimiento de treinta años de prisión y con sujeción a lo expresado en el precedente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ninguna de las resoluciones judiciales a las que se refiere el recurrente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extracto del fundamento de derecho primero de la Sentencia de 14 julio de 1998 adviértase que, además que se pronuncia sobre la existencia de reducciones ordinarias y extraordinarias en el Código penal de 1973 pero no sobre el modo de realizar su cómputo, lo que resulta determinante es que ese pronunciamiento se realiza en un momento en que no sólo no se han acumulado las penas de la primera y segunda condena sino, aún más, dicha segunda condena ni siquiera ha recaído. En ese contexto no es posible sostener que allí se esté estableciendo, con los efectos de firmeza e intangibilidad consiguientes, el criterio de cómputo de las redenciones de pena que el recurrente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El Auto de 6 de mayo de 2009 que acordó la acumulación de las penas impuestas por ambas Sentencias y que se cumplieran conforme al criterio de cómputo fijado por la STS 197/2006 (y las resoluciones judiciales que lo ratificaron) no dejó sin efecto dichas redenciones sino que, en ejercicio de las competencias que legalmente tiene atribuidas, las computó sucesivamente sobre el conjunto de penas impuestas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Jorge González Endemaño.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núm. 2516-2010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10718-2006.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