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2383-2010, promovido por don Joaquín Urain Larrañaga, representado por el Procurador de los Tribunales don José Javier Cuevas Rivas y asistido por la Letrado doña Ainhoa Baglietto, contra los Autos de 21 de enero y de 19 de febrero de 2010 de la Sala Segunda del Tribunal Supremo y contra el Auto de la Sección Segunda de la Sala de lo Penal de la Audiencia Nacional de 24 de agosto de 2009. Ha intervenido el Ministerio Fiscal.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18 de marzo de 2010, don José Javier Cuevas Rivas, Procurador de los Tribunales, y de don Joaquín Urain Larrañaga,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la Sección Segunda de Sala de lo Penal de la Audiencia Nacional, en diversos procesos a varias penas que suman más de cuatrocientos años, acordando el tribunal sentenciador mediante Auto de 16 de junio de 1997 la refundición de tales condenas. Su razonamiento jurídico único dice expresamente: “Los delitos cometidos por el penado Joaquín Urain Larrañaga presentan entre sí clara conexión jurídica y cronológica que hubiera permitido enjuiciarlos en un solo proceso, por lo que, de conformidad con lo preceptuado por el artículo 988 de la Ley de Enjuiciamiento Criminal, en relación con lo dispuesto en la regla 2ª del artículo 70 del Código Penal, es procedente refundir las condenas impuestas y expresadas, y fijar el máximo de la condena total a cumplir por el penado Joaquín Urain Larrañaga, en las indicadas causas, la de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21 de noviembre de 2008 tuvo entrada en la Sección Segunda de Sala de lo Penal de la Audiencia Nacional un oficio del centro penitenciario de La Moraleja, en Dueñas, en el que consultaba si era aplicable al recurrente la doctrina emanada de la STS 197/2006, de 28 de febrero, toda vez que de no aplicarse la fecha de licenciamiento sería el 29 de agosto de 2009 de acuerdo con las redenciones ordinarias consignadas en la hoja de cálculo que se adjuntaba. De aplicarse, por el contrario, la fecha sería el 10 de enero de 2016. Oficio que fue recordado por otro de 25 de mayo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una vez evacuado el traslado conferido a las partes, apoyando el Fiscal la aplicación de los criterios de la STS 197/2006 y oponiéndose a ello el recurrente, interesó del centro penitenciario mediante diligencia de ordenación de 17 de julio de 2009 nueva propuesta de licenciamiento con cálculo efectuado de conformidad con los criterios de dicha Sentencia, y fijó mediante Auto de 24 de agosto de 2009 y de conformidad con los referidos criterios la fecha de licenciamiento definitiva del recurrente para el 10 de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dicho Auto se interpuso recurso de casación, inadmitido por Auto de 21 de enero de 2010. Contra esa resolución se formuló incidente de nulidad de actuaciones, que fue también inadmitido en virtud de Providencia de 19 de febrero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fundamenta su demanda de amparo en la vulneración de los derechos fundamentales a la legalidad (art. 25.1 y 2 CE), a la tutela judicial efectiva (art. 24.1 CE), a la libertad (art. 17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en primer lugar, la vulneración del principio de legalidad (art. 25.1 y 2 CE), en relación con la interpretación de los arts. 70.2 y 100 del Código penal (CP) de 1973, así como de los arts. 66 del reglamento de prisiones de 1956 y del art. 202 del reglamento penitenciario actual.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 Finalmente, señala que en la práctica la Administración penitenciaria, con la aprobación de los Jueces de vigilancia penitenciaria y los Tribunales sentenciadores, han venido aplicando las redenciones siempre al tiempo de cumplimiento efectivo de la condena, descontándose del máximo de cumplimiento un día por cada dos trabajados. Criterio mantenido incluso por los Plenos no jurisdiccionales del Tribunal Supremo de 18 de julio de 1996 y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amparo denuncia la vulneración del derecho a la tutela judicial efectiva (art. 24.1 CE), en relación con el derecho a la libertad (art. 17 CE). Sostiene la demanda que la nueva interpretación del cómputo de las redenciones sobre la totalidad de la condena contradice el Auto de 16 de junio de 1997, toda vez que éste al refundir todas las penas en la resultante de treinta años suponía la desaparición de las que excedían de este límite de cumplimiento, y le genera indefensión e inseguridad jurídica, puesto que las redenciones aprobadas por los Juzgados de Vigilancia Penitenciaria, intangibles y firmes, aplicadas —como se venía haciendo— al tope de treinta años, suponían un importante acortamiento de su condena de treinta años. El trabajo y los estudios en la prisión se realizaron en la confianza de que las redenciones así obtenidas implicarían un acortamiento del tiempo de permanencia en prisión, como en el caso de la STC 76/2004, habiéndose generado una expectativa de dicho acortamiento sobre la base de la actuación de los órganos judiciales hasta el momento. Esa expectativa se deriva, según el recurrente, de la mera aprobación de las redenciones por los Juzgados de Vigilancia Penitenciaria. La defraudación de esa expectativa con la nueva doctrina aplicada genera inseguridad jurídica y vulnera el derecho a la tutela judicial efectiva, en relación con el derecho a la libertad, que implica un deber reforzado de motivación. Citando la STC 174/1989, se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 motivo de amparo, se considera vulnerado el principio de legalidad (arts. 25.1 y 9.3 CE), por aplicación retroactiva de una ley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 Muy especialmente en este caso, pues la misma Sección Segunda de Sala de lo Penal de la Audiencia Nacional, mediante providencia de 18 de noviembre de 2008, después por tanto de la STS 197/2006, acordó el licenciamiento definitivo de otro penado a más de treinta años —el señor Carrasco Alba— para el 26 de febrero de 2009, lo que supone la aplicación de las redenciones ordinarias al límite máximo de cumplimiento de treinta años que se habría cumplido el 19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quinto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En el caso del señor Urain ha cumplido un tiempo de estancia efectiva en prisión al que deberían sumarse las redenciones ordinarias y extraordinarias y licenciarlo cuando el cómputo de ambas llegue a 10.950 días, es decir al máximo de treinta años previsto en el art. 70.2 CP 1973. Sin embargo, las resoluciones recurridas retrasan la puesta en libertad del recurrente hasta el cumplimiento de los treinta años íntegros y, por tanto, violan el art. 17 CE y los arts. 5 y 15.1 Convenio europeo para la protección de los derechos humanos y de las libertades fundamentales, así como los arts. 9.1 y 5 y 15.1 Pacto internacional de derechos civiles y políticos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Aparte de los motivos de amparo, y mediante otrosí de la demanda, el recurrente solicita con apoyo en el art. 56.1 de la Ley Orgánica del Tribunal Constitucional (LOTC) la suspensión de la ejecución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marzo de 2011, la Sala Segunda de este Tribunal acordó la admisión a trámite de la demanda así como, a tenor de lo establecido en el art. 51 LOTC, requerir atentamente a Sala Segunda del Tribunal Supremo, a fin de que remita testimonio de lo actuado en el recurso de casación 002-0011106-2009, y al Servicio de Ejecutorias de la Audiencia Nacional, para que remitiera testimonio de las actuaciones correspondientes a la ejecutoria 103-1989, interesándole al tiempo que se emplazara a quienes fueron parte en el procedimiento, a excepción del demandante de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Sala Segunda de este Tribunal acordó formar pieza separada para la tramitación del incidente sobre suspensión y, conforme determina el art. 56 LOTC, conceder un plazo común de tres días a la parte recurrente y al Ministerio Fiscal para que aleguen lo que estimen pertinente. Evacuado dicho trámite, la Sala Segunda, por Auto de 16 de mayo de 2011,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15 de julio de 2011 se acordó dar vista de las actuaciones a la parte recurrente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sosteniendo que por razones sistemáticas procede abordar los motivos de modo distinto al propuesto en la demanda de amparo. Es por ello que empieza por el examen del sexto y último motivo expuesto, relativo a la vulneración del principio de legalidad penal (art. 25.2 CE) en el enunciado relativo al carácter rehabilitador y de reinserción social que deben tener las penas señaladas en el Código penal. En opinión del Ministerio Fiscal este motivo debe ser rechazado a limine porque el art. 25.2 CE no contiene un derecho fundamental del ciudadano susceptible de ser invocado en amparo, sino más bien un mandato destinado al legislador para orientar la política penal y penitenciaria. Además, la queja del recurrente no se centra en el contenido de los preceptos legales o reglamentarios, sino en la interpretación que de los mismos realiza la Audiencia Nacional, por lo que este motivo de amparo carece de autonomía y debe vincularse a otras infracciones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el Ministerio Fiscal que los motivos primero, tercero y quinto tengan suficiente eficacia suasoria. De un lado, “no parece que en el caso de autos, y a los efectos de una posible vulneración del principio de legalidad (art. 25.1) la interpretación que las resoluciones judiciales ahora recurridas en amparo hacen del art. 70.2 CP 1973 en exégesis derivada de la STS (Pleno de la Sala Segunda del Tribunal Supremo) 197/2006, de 28 de febrero, se base en una subsunción ajena al significado posible de los términos de la norma aplicada o se base en una argumentación ilógica o indiscutiblemente extravagante o ajena a los criterios que informan nuestro ordenamiento constitucional o conduzcan a soluciones esencialmente contrarias u opuestas a la orientación material de la norma y por ello imprevisible para sus destinatarios (por todas, SSTC 151/2005, de 6 de junio y 283/2006, de 9 de octubre), sin que corresponda por ende al Tribunal Constitucional dilucidar, como acontece en el caso de autos, cuál de las posibles interpretaciones o criterios jurisprudenciales es el más adecuado a la norma en juego”. De otro, “no tiene fundamento alguno sostener que se ha vulnerado dicho principio de irretroactividad de la ley penal por haber hecho aplicación del contenido del art. 78 CP 1995 bajo el ropaje aparente del art. 70.2 CP 1973, toda vez que el precepto que se ha aplicado ha sido siempre el art. 70.2 CP 1973, de vigencia al tiempo de comisión de los hechos, y sobre el que ha recaído la interpretación sentada en la Sentencia de la Sala de lo Penal del Tribunal Supremo núm. 197/2006, de 20 de febrero, y no el art. 78 CP 1995”. En fin, “se cita todo ello además en relación con el derecho fundamental a la libertad personal (art. 17 CE). Pero tal cita debe considerarse ínsita en la argumentación de denegación de la irretroactividad contra reo que hemos expuesto más arriba. Si no concurre tal defecto constitucional en la aplicación al reo de la doctrina derivada de la STS del Pleno de la Sala Segunda del Tribunal Supremo 197/2006, de 28 de febrero, tampoco puede deducirse que el no licenciamiento del Sr. Urain en la fecha prevista de no concurrir tal doctrina haya comprometido constitucionalmente su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la denunciada vulneración del derecho a la igualdad en la aplicación de la Ley (art. 14 CE). En primer lugar, porque el órgano judicial que ha dictado una de las resoluciones impugnadas (la Audiencia Nacional) es distinto de aquel que sentó la doctrina supuestamente discriminatoria (el Tribunal Supremo). Y, en segundo lugar, porque en todo caso la Sentencia de la Sala Segunda del Tribunal Supremo a la que se atribuye el cambio de criterio, el cual ha sido asumido como ratio decidendi por todas la resoluciones impugnadas, había recogido un conjunto de razonamientos en interpretación de la legalidad aplicable al caso que, desde la perspectiva de la racionalidad, justifican dicho eventual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Ministerio Fiscal considera vulnerado el derecho a la intangibilidad de las resoluciones judiciales (art. 24.1 CE). Así, aun reconociendo que la STC 174/1989 pudiera avalar un criterio distinto, sostiene que “no parece que puedan ser calificadas como resoluciones judiciales de naturaleza intangible las liquidaciones de condena habida cuenta de la extremada fluidez de la vida de cumplimiento penitenciario cuando entre en juego, como sucede en el caso de autos, la institución de la redención de penas, en sí mismas consideradas”. Otra cosa acontece, sigue diciendo, “con la refundición de penas ex art. 70, regla 2, CP 1973 o en el vigente 76.1 CP. El Auto en que se fijara la refundición, si no es recurrido, o si siéndolo en cuanto a lo que acontezca en el resultado final del recurso, debe reputarse como firme y su consecuencia debe ser en principio la intangibilidad del mismo. La razón es obvia; se opera sobre una realidad, refundir condenas, y sobre una norma, en el caso de autos la regla 2 del art. 70 CP”. Y en relación a esta segunda cuestión argumenta que en lo que hace a este caso concreto “[a] priori no entendemos como de recibo que establecidos unos criterios de interpretación normativa para fijar la refundición de condena (Auto de 16 de junio de 1997) y establecidos ellos en resolución judicial, pudieran variarse en virtud de una posterior resolución, como son las resoluciones judiciales ahora recurridas en amparo, por vía de remisión a la STS 197/06, de 28 de febrero, que interpreta de otra manera las normas atinentes”. Según el Fiscal, “ello comporta la vulneración del derecho a la intangibilidad de las resoluciones judiciales ex art. 24.1 CE (por todas, STC 209/05, de 4 de julio), enumerado como tal en el cuarto de los motivos de amparo del presente recurso, y que además de alguna manera se desprende cuando se argumenta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 su juicio, este “derecho fundamental tiene engarce con el principio de legalidad (art. 25.1 CE) en relación con la prohibición de retroactividad de las normas penales perjudiciales para el reo (art. 9.3 CE, por todas 223/1997 y STEDH Streletz, Kessler, y Krenz vs Alemania de 22 de marzo de 2001), ya que las garantías de legalidad y seguridad jurídica que exigen ambos preceptos constitucionales deben extenderse no sólo al enjuiciamiento de los hechos como tipicidad cierta, taxativa y previsible (por todas, SSTC 196/2002, y 111/2004), sino que lo es asimismo para con la ejecución de las penas, integrándose la irretroactividad de las normas, y su interpretación, desfavorables al reo en el complejo de legalidad del art. 25.1 CE (vid. STEDH Puhk v Estonia de 10 de febrero de 2004).”. En efecto, “en el hecho de autos las resoluciones judiciales no se han limitado a variar la fecha de licenciamiento de conformidad con los extremos anejos al devenir del cumplimiento de la pena impuesta (por ejemplo, con datos relativos a la redención de penas por el trabajo) sino que han alterado éstos de manera contraria y desfavorable al reo, que supone de facto la creación ex novo de un nuevo marco paranormativo que ha causado una extensión de la fecha de licenciamiento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 estas dos vulneraciones debe conectarse y adicionarse la consecuencia inexcusable de ellas, la vulneración del derecho a la libertad personal (art. 17.1 CE), por cuanto en vez de obtener en la fecha prevista el licenciamiento definitivo lo sería en fecha muy posterior como consecuencia de esa nueva y desfavorable interpretación de la normativa en juego que las resoluciones judiciales efectuaron en contra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que “[l]a consecuencia de todo ello es la estimación del amparo por todas esas vulneraciones, derecho a la intangibilidad de las resoluciones judiciales (art. 24.1 CE), en relación con el principio de legalidad penal en relación con la irretroactividad de lo desfavorable para el reo (art. 25.1 en relación con el art. 9.3 CE) y 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que tuvo su entrada en el Registro General de este Tribunal el día 8 de septiembre de 2011, en el que sustancialmente reproduce los argumentos ya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27 de septiembre de 2011 presentó sus alegaciones el Fiscal, interesando la estimación del amparo solicitado y la anulación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presentó en este Tribunal escrito de fecha 5 de diciembre de 2011 solicitando la suspensión de los efectos de la aplicación de la Sentencia del Tribunal Supremo 197/2006, de 28 de febrero, pues a su juicio está produciendo tal perjuicio al recurrente que hace perder al amparo su finalidad, alegando que el art. 56.4 LOTC le habilita para pedir esta suspensión a pesar que la misma ya fue solicitad previamente y denegada por Auto de 16 de mayo de 2011. La Sala, mediante providencia de 11 de enero de 2012, acordó que “no ha lugar a lo solicitado en el mismo, toda vez que la suspensión interesada se refiere a una resolución judicial (STS 197/06, de 28 de febrero) no recurrida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propuesta de la Sala Segunda, el Pleno, en su reunión de 17 de enero de 2011 y conforme al art. 10.1 n) LOTC,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marzo de 2012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Segunda de la Sala de lo Penal de la Audiencia Nacional de 24 de agosto de 2009, que resuelve que, en aplicación de la doctrina sentada por el Tribunal Supremo en la STS 197/2006, de 28 de febrero, la fecha de licenciamiento definitivo del recurrente sería el 10 de enero de 2016. También se dirige contra el Auto de 21 de enero de 2010 de la Sala Segunda del Tribunal Supremo, que inadmitió el recurso de casación interpuesto frente aquél, y contra el Auto de 19 de febrero de 2010, que inadmitió el incidente de nulidad de actuaciones promovido frente a la inadmisión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legalidad (art. 25.1 y 2 CE), a la tutela judicial efectiva (art. 24.1 CE), a la libertad (art. 17.1 CE) y a la igualdad en la aplicación de la ley (art. 14 CE), con la argumentación que queda ampliamente expuesta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entender concurrente la vulneración de los derechos fundamentales consagrados en los arts. 24.1, 25.1 y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distintos motivos de amparo se denuncia —como ya anticipamos— desde diversas perspectivas constitucionales la cuestión de fondo, esto es, la aplicación al presente caso de un nuevo criterio jurisprudencial en la interpretación de los arts. 70.2 y 100 del Código penal (CP) de 1973, y concordantes del reglamento penitenciario, en relación con el cómputo de la redención de penas por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 Un cambio de doctrina cuya aplicación al presente caso por la Audiencia Nacional implica que, si bien conforme al cómputo de las redenciones de penas por trabajo aplicado hasta ese momento, el recurrente habría extinguido ya su condena y debería haber obtenido la libertad el día 14 de junio 2006 (según se desprende de la propuesta de licenciamiento definitivo enviada inicialmente por el centro penitenciario al órgano judicial), en aplicación del nuevo criterio la pena no se extinguiría hasta el día 19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de ello se deriva la vulneración del principio de igualdad en la aplicación de la ley (art. 14);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A la vista de lo cual, hemos de comenzar precisando cuáles son los derechos fundamentales en juego y cuál ha de ser nuestro parámetro de enjuiciamiento en esta materia. No obstante, con carácter previo, conviene aclarar que no es objeto del presente recurso de amparo la Sentencia 197/2006, de 28 de febrero, dictada por la Sala Segunda del Tribunal Supremo, sino que nuestro examen se ha de limitar a la consideración de la respuesta judicial que para el caso concreto se contiene en las resoluciones recurridas, en las que se acuerda la aplicación del criterio de cómputo de las redenciones establecido con carácter previo por la citada STS 197/1996.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—y en contra de lo sostenido por el Ministerio Fiscal—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contra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(arts.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Dado que en el presente procedimiento no se impugna la Sentencia del Tribunal Supremo de 28 de febrero de 2006 no cabe entrar a examinar si ésta se ha apartado o no de sus precedentes vulnerando el art. 14 CE. Y por lo que respecta a las resoluciones impugnadas se limitan a aplicar la doctrina sentada en aquella Sentencia del Tribunal Supremo, máximo intérprete de la ley, justificando el cambio de criterio en el cómputo de las redenciones de penas por el trabajo, frente a otros supuestos resueltos con anterioridad, precisamente en la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muy distinta es que la misma Sección Segunda de la Sala de lo Penal de la Audiencia Nacional, en un tiempo posterior al cambio doctrinal operado en 2006, haya aplicado singularmente a un penado —señor Carrasco Alba— las redenciones ordinarias al límite máximo de cumplimiento de treinta años, debiendo destacar que el derecho a la igualdad no ampara la equiparación a quien ha obtenido un trato privilegiado. Además, consta (documento 11 de los acompañados con la demanda de amparo) escrito del Ministerio Fiscal de 6 de octubre de 2008, evacuando el traslado conferido al efecto, en que se puede leer que “procede aprobar el licenciamiento definitivo del penado José Antonio Carrasco Alba para el próximo día 26 de febrero de 2009 como propone el centro penitenciario de San Sebastián, al encontrarse el penado en libertad condicional desde el día 30 de agosto de 2001, por lo que no procede la aplicación de la sentencia del Tribunal Supremo 197/2006, de 28 de febrero”, lo que pone de manifiesto que no es un supuesto idéntico al del recurrente, de modo que no puede servir como término de comparación válido para formular un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hemos de recordar que no es función de este Tribunal la interpretación de la legalidad ordinaria y, en lo que aquí interesa, que no nos corresponde pronunciarnos directamente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respuesta judicial obtenida por el recurrente en el Auto de la Sección Segunda de la Sala de lo Penal de la Audiencia Nacional de 24 de agosto de 2009, confirmado por los autos del Tribunal Supremo que respectivamente inadmitieron el recurso de casación y el posterior incidente de nulidad de actuaciones, vulneró su derecho a la tutela judicial efectiva (art. 24.1 CE) y como consecuencia de ello su derecho a la libertad (art. 17.1 CE), lo que —según se argumenta en los motivos de amparo tercero y sexto, fundamentalmente— habría sucedido al aplicar un nuevo criterio de cómputo de la redención de penas por el trabajo que ignora la existencia de una legítima expectativa, fundada en la previa actuación de la administración penitenciaria y en resoluciones judiciales firmes e intangibles, de obtener el licenciamiento definitivo, y por tanto ser puesto en libertad, el día 28 de febrero de 2006. El Ministerio Fiscal también entiende concurrentes estas vulneraciones en los términos reseñados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conformando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relevantes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la Sección Segunda de Sala de lo Penal de la Audiencia Nacional, en diversos procesos a varias penas que suman más de cuatrocientos años, acordando el tribunal sentenciador mediante Auto de 16 de junio de 1997 la refundición de tales condenas. Su razonamiento jurídico único dice expresamente: “Los delitos cometidos por el penado Joaquín Urain Larrañaga presentan entre sí clara conexión jurídica y cronológica que hubiera permitido enjuiciarlos en un solo proceso, por lo que, de conformidad con lo preceptuado por el artículo 988 de la Ley de enjuiciamiento criminal, en relación con lo dispuesto en la regla 2ª del artículo 70 del Código penal, es procedente refundir las condenas impuestas y expresadas, y fijar el máximo de la condena total a cumplir por el penado Joaquín Urain Larrañaga, en las indicadas causas, la de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21 de noviembre de 2008 tuvo entrada en la Sección Segunda de Sala de lo Penal de la Audiencia Nacional un oficio del centro penitenciario de La Moraleja, en Dueñas, en el que consultaba si era aplicable al recurrente la doctrina emanada de la STS 197/2006, de 28 de febrero, toda vez que de no aplicarse la fecha de licenciamiento sería el 29 de agosto de 2009 de acuerdo con las redenciones ordinarias consignadas en la hoja de cálculo que se adjuntaba.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una vez evacuado el traslado conferido a las partes, interesó del centro penitenciario mediante diligencia de ordenación de 17 de julio de 2009 nueva propuesta de licenciamiento con cálculo efectuado de conformidad con los criterios de dicha sentencia, y fijó mediante Auto de 24 de agosto de 2009 y de conformidad con los referidos criterios la fecha de licenciamiento definitiva del recurrente para el 10 de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ninguna de las resoluciones judiciales a las que se refiere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en las que se reconoció al penado determinados días de redención de pena por el trabajo u otras actividades realizadas, redenciones que recoge la hoja de cálculo adjunta a la propuesta de licenciamiento enviado por el centro penitenciario,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 El Auto que fijó la fecha de licenciamiento definitivo de conformidad con la doctrina sentada por el Tribunal Supremo en la STS 197/2006, de 28 de febrero no dejó sin efecto dichas redenciones sino que, en ejercicio de las competencias que legalmente tiene atribuidas, las computó sucesivamente sobre las varias penas impuestas a efectos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Auto de acumulación de condenas y fijación del límite máximo de cumplimiento treinta años de privación de libertad, que cita el Ministerio Fiscal como resolución intangible que ha sido ilegítimamente desconocida, se limita a hacer efectiva la previsión legal (arts. 988 de la Ley de enjuiciamiento criminal y 70.2 CP 1973). No existe en él referencia alguna a la redención de penas por el trabajo o al criterio de cómputo de la misma, ni puede concluirse que dicho criterio sea relevante en modo alguno en la decisión de acumulación en su día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o del principio de legalidad (art. 25.1 CE) en relación con la prohibición de retroactividad de las normas penales perjudiciales para el reo (art. 9.3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misma suerte desestimatoria debe seguir la queja plasmada en el último motivo de amparo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Joaquín Urain Larrañaga.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en el recurso de amparo núm. 2383-2010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decisión mayoritaria debo explicitar mi desacuerdo con los fundamentos y el fallo de la presente Sentencia, de la que he sido Ponente y es en esa condición en la que recojo en ella una opinión mayoritaria contraria a mi criterio. En cuanto a los motivos de mi desacuerdo me remito a la opinión discrepante que he dejado expresada en el recurso de amparo avocado núm. 7325-2006, donde razono mi convencimiento de que en este asunto se han vulnerado los derechos fundamentales reconocidos al recurrente por los arts. 17.1 y 25.1 CE, lo que debería haber llevado a este Tribunal a otorgar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Adela Asua Batarrita a la Sentencia dictada en el recurso de amparo núm. 2383-2010.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