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2383-2010, promovido por don Joaquín Urain Larrañaga, representado por el Procurador de los Tribunales don José Javier Cuevas Rivas y asistido por la Letrado doña Ainhoa Baglietto, contra los Autos de 21 de enero y de 19 de febrero de 2010 de la Sala Segunda del Tribunal Supremo y contra el Auto de la Sección Segunda de la Sala de lo Penal de la Audiencia Nacional de 24 de agosto de 2009.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18 de marzo de 2010, don José Javier Cuevas Rivas, Procurador de los Tribunales, y de don Joaquín Urain Larrañaga,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Sección Segunda de Sala de lo Penal de la Audiencia Nacional, en diversos procesos a varias penas que suman más de cuatrocientos años, acordando el tribunal sentenciador mediante Auto de 16 de junio de 1997 la refundición de tales condenas. Su razonamiento jurídico único dice expresamente: “Los delitos cometidos por el penado Joaquín Urain Larrañaga presentan entre sí clara conexión jurídica y cronológica que hubiera permitido enjuiciarlos en un solo proceso, por lo que, de conformidad con lo preceptuado por el artículo 988 de la Ley de Enjuiciamiento Criminal, en relación con lo dispuesto en la regla 2ª del artículo 70 del Código Penal, es procedente refundir las condenas impuestas y expresadas, y fijar el máximo de la condena total a cumplir por el penado Joaquín Urain Larrañaga, en las indicadas causas, la de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21 de noviembre de 2008 tuvo entrada en la Sección Segunda de Sala de lo Penal de la Audiencia Nacional un oficio del centro penitenciario de La Moraleja, en Dueñas, en el que consultaba si era aplicable al recurrente la doctrina emanada de la STS 197/2006, de 28 de febrero, toda vez que de no aplicarse la fecha de licenciamiento sería el 29 de agosto de 2009 de acuerdo con las redenciones ordinarias consignadas en la hoja de cálculo que se adjuntaba. De aplicarse, por el contrario, la fecha sería el 10 de enero de 2016. Oficio que fue recordado por otro de 25 de mayo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una vez evacuado el traslado conferido a las partes, apoyando el Fiscal la aplicación de los criterios de la STS 197/2006 y oponiéndose a ello el recurrente, interesó del centro penitenciario mediante diligencia de ordenación de 17 de julio de 2009 nueva propuesta de licenciamiento con cálculo efectuado de conformidad con los criterios de dicha Sentencia, y fijó mediante Auto de 24 de agosto de 2009 y de conformidad con los referidos criterios la fecha de licenciamiento definitiva del recurrente para el 10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dicho Auto se interpuso recurso de casación, inadmitido por Auto de 21 de enero de 2010. Contra esa resolución se formuló incidente de nulidad de actuaciones, que fue también inadmitido en virtud de Providencia de 19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fundamenta su demanda de amparo en la vulneración de los derechos fundamentales a la legalidad (art. 25.1 y 2 CE), a la tutela judicial efectiva (art. 24.1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primer lugar, la vulneración del principio de legalidad (art. 25.1 y 2 CE), en relación con la interpretación de los arts. 70.2 y 100 del Código penal (CP) de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penitenciaria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denuncia la vulneración del derecho a la tutela judicial efectiva (art. 24.1 CE), en relación con el derecho a la libertad (art. 17 CE). Sostiene la demanda que la nueva interpretación del cómputo de las redenciones sobre la totalidad de la condena contradice el Auto de 16 de junio de 1997, toda vez que éste al refundir todas las penas en la resultante de treinta años suponía la desaparición de las que excedían de este límite de cumplimiento, y le genera indefensión e inseguridad jurídica, puesto que las redenciones aprobadas por los Juzgados de Vigilancia Penitenciaria, intangibles y firmes, aplicadas —como se venía haciendo— al tope de treinta años, suponían un importante acortamiento de su condena de treinta años. El trabajo y los estudios en la prisión se realizaron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de amparo, se considera vulnerado el principio de legalidad (arts.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 Muy especialmente en este caso, pues la misma Sección Segunda de Sala de lo Penal de la Audiencia Nacional, mediante providencia de 18 de noviembre de 2008, después por tanto de la STS 197/2006, acordó el licenciamiento definitivo de otro penado a más de treinta años —el señor Carrasco Alba— para el 26 de febrero de 2009, lo que supone la aplicación de las redenciones ordinarias al límite máximo de cumplimiento de treinta años que se habría cumplido el 19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En el caso del señor Urain ha cumplido un tiempo de estancia efectiva en prisión al que deberían sumarse las redenciones ordinarias y extraordinarias y licenciarlo cuando el cómputo de ambas llegue a 10.950 días, es decir al máximo de treinta años previsto en el art. 70.2 CP 1973. Sin embargo, las resoluciones recurridas retrasan la puesta en libertad del recurrente hasta el cumplimiento de los treinta años íntegros y, por tanto, violan el art. 17 CE y los arts. 5 y 15.1 Convenio europeo para la protección de los derechos humanos y de las libertades fundamentales, así como los arts. 9.1 y 5 y 15.1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los motivos de amparo, y mediante otrosí de la demanda, el recurrente solicita con apoyo en el art. 56.1 de la Ley Orgánica del Tribunal Constitucional (LOTC) la suspensión de la ejecución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marzo de 2011, la Sala Segunda de este Tribunal acordó la admisión a trámite de la demanda así como, a tenor de lo establecido en el art. 51 LOTC, requerir atentamente a Sala Segunda del Tribunal Supremo, a fin de que remita testimonio de lo actuado en el recurso de casación 002-0011106-2009, y al Servicio de Ejecutorias de la Audiencia Nacional, para que remitiera testimonio de las actuaciones correspondientes a la ejecutoria 103-1989, interesándole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de este Tribunal acordó formar pieza separada para la tramitación del incidente sobre suspensión y, conforme determina el art. 56 LOTC, conceder un plazo común de tres días a la parte recurrente y al Ministerio Fiscal para que aleguen lo que estimen pertinente. Evacuado dicho trámite, la Sala Segunda, por Auto de 16 de mayo de 2011,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15 de julio de 2011 se acordó dar vista de las actuaciones a la parte recurrente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sosteniendo que por razones sistemáticas procede abordar los motivos de modo distinto al propuesto en la demanda de amparo. Es por ello que empieza por el examen del sexto y último motivo expuesto, relativo a la vulneración del principio de legalidad penal (art. 25.2 CE) en el enunciado relativo al carácter rehabilitador y de reinserción social que deben tener las penas señaladas en el Código penal. En opinión del Ministerio Fiscal este motivo debe ser rechazado a limine porque el art. 25.2 CE no contiene un derecho fundamental del ciudadano susceptible de ser invocado en amparo, sino más bien un mandato destinado al legislador para orientar la política penal y penitenciaria.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el Ministerio Fiscal que los motivos primero, tercero y quinto tengan suficiente eficacia suasoria. De un lado, “no parece que en el caso de autos, y a los efectos de una posible vulneración del principio de legalidad (art. 25.1) la interpretación que las resoluciones judiciales ahora recurridas en amparo hacen del art. 70.2 CP 1973 en exégesis derivada de la STS (Pleno de la Sala Segunda del Tribunal Supremo) 197/2006, de 28 de febrero, se base en una subsunción ajena al significado posible de los términos de la norma aplicada o se base en una argumentación ilógica o indiscutiblemente extravagante o ajena a los criterios que informan nuestro ordenamiento constitucional o conduzcan a soluciones esencialmente contrarias u opuestas a la orientación material de la norma y por ello imprevisible para sus destinatarios (por todas, SSTC 151/2005, de 6 de junio y 283/2006, de 9 de octubre), sin que corresponda por ende al Tribunal Constitucional dilucidar, como acontece en el caso de autos, cuál de las posibles interpretaciones o criterios jurisprudenciales es el más adecuado a la norma en juego”. De otro, “no tiene fundamento alguno sostener que se ha vulnerado dicho principio de irretroactividad de la ley penal por haber hecho aplicación del contenido del art. 78 CP 1995 bajo el ropaje aparente del art. 70.2 CP 1973, toda vez que el precepto que se ha aplicado ha sido siempre el art. 70.2 CP 1973, de vigencia al tiempo de comisión de los hechos, y sobre el que ha recaído la interpretación sentada en la Sentencia de la Sala de lo Penal del Tribunal Supremo núm. 197/2006, de 20 de febrero, y no el art. 78 CP 1995”. En fin, “se cita todo ello además en relación con el derecho fundamental a la libertad personal (art. 17 CE). Pero tal cita debe considerarse ínsita en la argumentación de denegación de la irretroactividad contra reo que hemos expuesto más arriba. Si no concurre tal defecto constitucional en la aplicación al reo de la doctrina derivada de la STS del Pleno de la Sala Segunda del Tribunal Supremo 197/2006, de 28 de febrero, tampoco puede deducirse que el no licenciamiento del Sr. Urain en la fecha prevista de no concurrir tal doctrina haya comprometido constitucionalmente su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denunciada vulneración del derecho a la igualdad en la aplicación de la Ley (art. 14 CE). En primer lugar, porque el órgano judicial que ha dictado una de las resoluciones impugnadas (la Audiencia Nacional) es distinto de aquel que sentó la doctrina supuestamente discriminatoria (el Tribunal Supremo). Y, en segundo lugar, porque en todo caso la Sentencia de la Sala Segunda del Tribunal Supremo a la que se atribuye el cambio de criterio, el cual ha sido asumido como ratio decidendi por todas la resoluciones impugnadas, había recogido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considera vulnerado el derecho a la intangibilidad de las resoluciones judiciales (art. 24.1 CE). Así, aun reconociendo que la STC 174/1989 pudiera avalar un criterio distinto, sostiene que “no parece que puedan ser calificadas como resoluciones judiciales de naturaleza intangible las liquidaciones de condena habida cuenta de la extremada fluidez de la vida de cumplimiento penitenciario cuando entre en juego, como sucede en el caso de autos, la institución de la redención de penas, en sí mismas consideradas”. Otra cosa acontece, sigue diciendo, “con la refundición de penas ex art. 70, regla 2, CP 1973 o en el vigente 76.1 CP. El Auto en que se fijara la refundición, si no es recurrido, o si siéndolo en cuanto a lo que acontezca en el resultado final del recurso, debe reputarse como firme y su consecuencia debe ser en principio la intangibilidad del mismo. La razón es obvia; se opera sobre una realidad, refundir condenas, y sobre una norma, en el caso de autos la regla 2 del art. 70 CP”. Y en relación a esta segunda cuestión argumenta que en lo que hace a este caso concreto “[a] priori no entendemos como de recibo que establecidos unos criterios de interpretación normativa para fijar la refundición de condena (Auto de 16 de junio de 1997) y establecidos ellos en resolución judicial, pudieran variarse en virtud de una posterior resolución, como son las resoluciones judiciales ahora recurridas en amparo, por vía de remisión a la STS 197/06, de 28 de febrero, que interpreta de otra manera las normas atinentes”. Según el Fiscal, “ello comporta la vulneración del derecho a la intangibilidad de las resoluciones judiciales ex art. 24.1 CE (por todas, STC 209/05, de 4 de julio), enumerado como tal en el cuarto de los motivos de amparo del presente recurso, y que además de alguna manera se desprende cuando se argumenta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su juicio, este “derecho fundamental tiene engarce con el principio de legalidad (art. 25.1 CE) en relación con la prohibición de retroactividad de las normas penales perjudiciales para el reo (art. 9.3 CE, por todas 223/1997 y STEDH Streletz, Kessler, y Krenz vs Alemania de 22 de marzo de 2001), ya que las garantías de legalidad y seguridad jurídica que exigen ambos preceptos constitucionales deben extenderse no sólo al enjuiciamiento de los hechos como tipicidad cierta, taxativa y previsible (por todas, SSTC 196/2002, y 111/2004), sino que lo es asimismo para con la ejecución de las penas, integrándose la irretroactividad de las normas, y su interpretación, desfavorables al reo en el complejo de legalidad del art. 25.1 CE (vid. STEDH Puhk v Estonia de 10 de febrero de 2004).”. En efecto, “en el hecho de autos las resoluciones judiciales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que supone de facto la creación ex novo de un nuevo marco paranormativo que ha causado una extensión de la fecha de licenciamiento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estas dos vulneraciones debe conectarse y adicionarse la consecuencia inexcusable de ellas, la vulneración del derecho a la libertad personal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“[l]a consecuencia de todo ello es la estimación del amparo por todas esas vulneraciones, derecho a la intangibilidad de las resoluciones judiciales (art. 24.1 CE), en relación con el principio de legalidad penal en relación con la irretroactividad de lo desfavorable para el reo (art. 25.1 en relación con el art. 9.3 CE) y 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8 de septiembre de 2011,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27 de septiembre de 2011 presentó sus alegaciones el Fiscal, interesando la estimación del amparo solicitado y la anulación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presentó en este Tribunal escrito de fecha 5 de diciembre de 2011 solicitando la suspensión de los efectos de la aplicación de la Sentencia del Tribunal Supremo 197/2006, de 28 de febrero, pues a su juicio está produciendo tal perjuicio al recurrente que hace perder al amparo su finalidad, alegando que el art. 56.4 LOTC le habilita para pedir esta suspensión a pesar que la misma ya fue solicitad previamente y denegada por Auto de 16 de mayo de 2011. La Sala, mediante providencia de 11 de enero de 2012, acordó que “no ha lugar a lo solicitado en el mismo, toda vez que la suspensión interesada se refiere a una resolución judicial (STS 197/06, de 28 de febrero) no recurrida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propuesta de la Sala Segunda, el Pleno, en su reunión de 17 de enero de 2011 y conforme al art. 10.1 n) LOTC,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marzo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Sala de lo Penal de la Audiencia Nacional de 24 de agosto de 2009, que resuelve que, en aplicación de la doctrina sentada por el Tribunal Supremo en la STS 197/2006, de 28 de febrero, la fecha de licenciamiento definitivo del recurrente sería el 10 de enero de 2016. También se dirige contra el Auto de 21 de enero de 2010 de la Sala Segunda del Tribunal Supremo, que inadmitió el recurso de casación interpuesto frente aquél, y contra el Auto de 19 de febrero de 2010, que inadmitió el incidente de nulidad de actuaciones promovido frente a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legalidad (art. 25.1 y 2 CE), a la tutela judicial efectiva (art. 24.1 CE), a la libertad (art. 17.1 CE) y a la igualdad en la aplicación de la ley (art. 14 CE), con la argumentación que queda ampliamente expuesta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entender concurrente la vulneración de los derechos fundamentales consagrados en los arts. 24.1, 25.1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distintos motivos de amparo se denuncia —como ya anticipamos— desde diversas perspectivas constitucionales la cuestión de fondo, esto es, la aplicación al presente caso de un nuevo criterio jurisprudencial en la interpretación de los arts. 70.2 y 100 del Código penal (CP) de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aplicado hasta ese momento, el recurrente habría extinguido ya su condena y debería haber obtenido la libertad el día 14 de junio 2006 (según se desprende de la propuesta de licenciamiento definitivo enviada inicialmente por el centro penitenciario al órgano judicial), en aplicación del nuevo criterio la pena no se extinguiría hasta el día 19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de ello se deriva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A la vista de lo cual, hemos de comenzar precisando cuáles son los derechos fundamentales en juego y cuál ha de ser nuestro parámetro de enjuiciamiento en esta materia. No obstante, con carácter previo, conviene aclarar que no es objeto del presente recurso de amparo la Sentencia 197/2006, de 28 de febrero, dictada por la Sala Segunda del Tribunal Supremo, sino que nuestro examen se ha de limitar a la consideración de la respuesta judicial que para el caso concreto se contiene en las resoluciones recurridas, en las que se acuerda la aplicación del criterio de cómputo de las redenciones establecido con carácter previo por la citada STS 197/1996.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—y en contra de lo sostenido por el Ministerio Fiscal—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(arts.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Dado que en el presente procedimiento no se impugna la Sentencia del Tribunal Supremo de 28 de febrero de 2006 no cabe entrar a examinar si ésta se ha apartado o no de sus precedentes vulnerando el art. 14 CE. Y por lo que respecta a las resoluciones impugnadas se limitan a aplicar la doctrina sentada en aquella Sentencia del Tribunal Supremo, máximo intérprete de la ley, justificando el cambio de criterio en el cómputo de las redenciones de penas por el trabajo, frente a otros supuestos resueltos con anterioridad, precisamente en la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muy distinta es que la misma Sección Segunda de la Sala de lo Penal de la Audiencia Nacional, en un tiempo posterior al cambio doctrinal operado en 2006, haya aplicado singularmente a un penado —señor Carrasco Alba— las redenciones ordinarias al límite máximo de cumplimiento de treinta años, debiendo destacar que el derecho a la igualdad no ampara la equiparación a quien ha obtenido un trato privilegiado. Además, consta (documento 11 de los acompañados con la demanda de amparo) escrito del Ministerio Fiscal de 6 de octubre de 2008, evacuando el traslado conferido al efecto, en que se puede leer que “procede aprobar el licenciamiento definitivo del penado José Antonio Carrasco Alba para el próximo día 26 de febrero de 2009 como propone el centro penitenciario de San Sebastián, al encontrarse el penado en libertad condicional desde el día 30 de agosto de 2001, por lo que no procede la aplicación de la sentencia del Tribunal Supremo 197/2006, de 28 de febrero”, lo que pone de manifiesto que no es un supuesto idéntico al del recurrente, de modo que no puede servir como término de comparación válido para formular un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el Auto de la Sección Segunda de la Sala de lo Penal de la Audiencia Nacional de 24 de agosto de 2009, confirmado por los autos del Tribunal Supremo que respectivamente inadmitieron el recurso de casación y el posterior incidente de nulidad de actuaciones, vulneró su derecho a la tutela judicial efectiva (art. 24.1 CE) y como consecuencia de ello su derecho a la libertad (art. 17.1 CE), lo que —según se argumenta en los motivos de amparo tercero y sexto, fundamentalmente— habría sucedido al aplicar un nuevo criterio de cómputo de la redención de penas por el trabajo que ignora la existencia de una legítima expectativa, fundada en la previa actuación de la administración penitenciaria y en resoluciones judiciales firmes e intangibles, de obtener el licenciamiento definitivo, y por tanto ser puesto en libertad, el día 28 de febrero de 2006. El Ministerio Fiscal también entiende concurrentes estas vulneraciones en los términos reseñados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Sección Segunda de Sala de lo Penal de la Audiencia Nacional, en diversos procesos a varias penas que suman más de cuatrocientos años, acordando el tribunal sentenciador mediante Auto de 16 de junio de 1997 la refundición de tales condenas. Su razonamiento jurídico único dice expresamente: “Los delitos cometidos por el penado Joaquín Urain Larrañaga presentan entre sí clara conexión jurídica y cronológica que hubiera permitido enjuiciarlos en un solo proceso, por lo que, de conformidad con lo preceptuado por el artículo 988 de la Ley de enjuiciamiento criminal, en relación con lo dispuesto en la regla 2ª del artículo 70 del Código penal, es procedente refundir las condenas impuestas y expresadas, y fijar el máximo de la condena total a cumplir por el penado Joaquín Urain Larrañaga, en las indicadas causas, la de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21 de noviembre de 2008 tuvo entrada en la Sección Segunda de Sala de lo Penal de la Audiencia Nacional un oficio del centro penitenciario de La Moraleja, en Dueñas, en el que consultaba si era aplicable al recurrente la doctrina emanada de la STS 197/2006, de 28 de febrero, toda vez que de no aplicarse la fecha de licenciamiento sería el 29 de agosto de 2009 de acuerdo con las redenciones ordinarias consignadas en la hoja de cálculo que se adjuntaba.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una vez evacuado el traslado conferido a las partes, interesó del centro penitenciario mediante diligencia de ordenación de 17 de julio de 2009 nueva propuesta de licenciamiento con cálculo efectuado de conformidad con los criterios de dicha sentencia, y fijó mediante Auto de 24 de agosto de 2009 y de conformidad con los referidos criterios la fecha de licenciamiento definitiva del recurrente para el 10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ninguna de las resoluciones judiciales a las que se refiere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redenciones que recoge la hoja de cálculo adjunta a la propuesta de licenciamiento enviado por el centro penitenciario,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El Auto que fijó la fecha de licenciamiento definitivo de conformidad con la doctrina sentada por el Tribunal Supremo en la STS 197/2006, de 28 de febrero no dejó sin efecto dichas redenciones sino que, en ejercicio de las competencias que legalmente tiene atribuidas, las computó sucesivamente sobre las varias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acumulación de condenas y fijación del límite máximo de cumplimiento treinta años de privación de libertad, que cita el Ministerio Fiscal como resolución intangible que ha sido ilegítimamente desconocida, se limita a hacer efectiva la previsión legal (arts. 988 de la Ley de enjuiciamiento criminal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o del principio de legalidad (art. 25.1 CE) en relación con la prohibición de retroactividad de las normas penales perjudiciales para el reo (art. 9.3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Joaquín Urain Larrañaga.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2383-2010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debo explicitar mi desacuerdo con los fundamentos y el fallo de la presente Sentencia, de la que he sido Ponente y es en esa condición en la que recojo en ella una opinión mayoritaria contraria a mi criterio. En cuanto a los motivos de mi desacuerdo me remito a la opinión discrepante que he dejado expresada en el recurso de amparo avocado núm. 7325-2006, donde razono mi convencimiento de que en este asunto se han vulnerado los derechos fundamentales reconocidos al recurrente por los arts. 17.1 y 25.1 CE, lo que debería haber llevado a este Tribunal a otorgar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el recurso de amparo núm. 2383-2010.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