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6285-2009, promovido por don José Luis Charlín Gama, representado por el Procurador de los Tribunales don Argimiro Vázquez Guillén y asistido por el Abogado don Francisco Javier Lozano Montalvo, contra el Auto de la Sala de lo Penal del Tribunal Supremo de 30 de abril de 2009 que declaró no haber lugar a la admisión del recurso de casación presentado contra el Auto de la Sección Primera de la Sala de lo Penal de la Audiencia Nacional de 23 de mayo de 2008 en la ejecutoria núm. 13-1994.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julio de 2009 don José Luis Charlín Gama presentó en el Registro General de este Tribunal recurso de amparo contra el Auto de la Sala de lo Penal del Tribunal Supremo de 30 de abril de 2009, que declaró no haber lugar al recurso de casación interpuesto contra el Auto de la Sección Primera de la Sala de lo Penal de la Audiencia Nacional de 23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por la Sección Tercera de la Sala de lo Penal de la Audiencia Nacional (ejecutoria núm. 4-1997 dimanante del sumario núm. 15-1992 del Juzgado Central de Instrucción núm. 5) a las penas de veinte años de reclusión menor por delito contra la salud pública, cinco meses de arresto mayor por contrabando y quince años de reclusión menor por otro delito contra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la Sección Primera de la misma Sala de lo Penal, mediante Sentencia de 29 de julio de 1998, condenó al demandante de amparo por la comisión de un delito contra la salud pública a las penas de diecisiete años de reclusión menor y multa de 200.000.000 pesetas, así como accesoria de inhabilitación absoluta durante el tiempo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Primera de la misma Sala, mediante Auto de 30 de junio de 1999, de conformidad con lo establecido en el art. 988 de la Ley de enjuiciamiento criminal en relación con lo dispuesto en la regla segunda del art. 70 del Código penal (CP) vigente en el momento de la comisión de los hechos, acordó acumular tales condenas y fijar, como máximo de cumplimiento, treinta años de privación de libertad. Por providencia se declaró la firmeza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centro penitenciario en el que se encontraba interno el demandante de amparo envió el 25 de abril de 2008 a la misma Sección Primera propuesta de licenciamiento definitivo con fecha 25 de mayo de 2008, condicionándolo a que el Juez de vigilancia penitenciaria confirmase la redención de cuarenta días correspondientes al cuarto trimestre de 2007. El Fiscal, en dictamen de 6 de mayo de 2008, se mostró conforme con esta fecha siempre que se cumpliera con la salvedad antedicha.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la repetida Sección Primera de 13 de mayo de 2008 se aprobó el licenciamiento definitivo del penado para el día 25 de mayo de 2008, condicionado a la previa aprobación por el Juzgado de Vigilancia Penitenciaria de los cuarenta días de redención correspondientes al cuarto trimestre del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luz del oficio remitido por el Juzgado de Vigilancia Penitenciaria, la Sección, por providencia de 16 de mayo de 2008 fijó nueva fecha de licenciamiento definitivo para el 7 de abril de 2008. De esta providencia se dio traslado al Ministerio Fiscal para que informara a la mayor urgencia sobre dicho licenciamiento y en dictamen de la misma fecha el Fiscal interpuso recurso de súplica contra la providencia de 13 de mayo de 2008, por la que se acordaba el licenciamiento definitivo del penado, a fin de que se deje sin efecto el mismo por ser necesario comprobar si le es aplicable al referido penado la doctrina emanada de la Sentencia de la Sala de lo Penal del Tribunal Supremo 197/2006,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por Auto de 23 de mayo de 2008 estimó el recurso de súplica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defensa del demandante recurrió en casación el Auto, recurso que fue inadmitido por Auto de la Sala de lo Penal del Tribunal Supremo de 30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el amparo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 vulneración del derecho fundamental a la tutela judicial efectiva sin indefensión reconocido en el art. 24.1 CE en relación con el derecho a la libertad consagrado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demandante de amparo que el Auto recurrido no guarda consideración al principio de intangibilidad de las resoluciones judiciales y de seguridad jurídica. Recuerda que es doctrina reiterada que el principio de intangibilidad de las resoluciones judiciales firmes es una consecuencia tanto del principio de seguridad jurídica recogido en el art. 9.3 CE, como sobre todo del derecho a la tutela judicial efectiva sin indefensión, como ha reconocido el Tribunal Constitucional, entre otras, en Sentencia de 24 de abril de 2006. Asimismo, señala que al incidir la vulneración del derecho a la tutela judicial que se denuncia en la situación penitenciaria del recurrente precisamente en el momento en que se habría de producir su licenciamiento definitivo, se ha de entender que se transgrede su derecho a la libertad, reconocido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son varios los motivos que impiden aplicar a este supuesto la doctrina sentada por la Sala Segunda del Tribunal Supremo en Sentencia de 20 de febrero de 2006. En primer lugar, considera que esta Sentencia no realiza una relectura de la regla 2 del art. 70 del Código penal de 1973 sino una verdadera reescritura del precepto que colisiona con los más elementales principios constitucionales en tanto, entre otras cosas, altera de forma drástica el sentido de la norma y su contexto prescriptivo. Y, en segundo lugar, afirma que en el Auto de la Sala Segunda del Tribunal Supremo de 30 de abril de 2009 que ahora se impugna se introducen unas consideraciones sobre el concepto de refundición de penas que en nada se compadece con la doctrina sentada por ese mismo Tribunal Supremo en otras resoluciones. Así, se dice en el Auto objeto de recurso que el concepto de refundición de penas resulta equívoco y poco apropiado “en tanto nada se refunde para compendiar todo en uno”, semejante confusión, a su juicio, habrá surgido hace escasos años y precisamente a raíz de que la Sala Segunda, ante un supuesto sumamente singular, variara su criterio, porque con anterioridad el significado del concepto parecía diáfano y, si no lo fuera, al menos venía siendo aplicado de forma ciertamente uniforme por todos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estima que este supuesto difiere sustancialmente del que dio lugar a la Sentencia de la Sala de lo Penal del Tribunal Supremo de 20 de febrero de 2006 porque aquí se parte de la existencia de un Auto de acumulación de penas dictado por la Sección Primera de la Sala de lo Penal de la Audiencia Nacional el 30 de junio de 1999, mediante el cual se fijaba en treinta años el período de privación de libertad. Este Auto al devenir firme resulta inmutable, sin que quepa su modificación al socaire de una nueva corriente jurisprudencial, so pena de quebrantar los principios de seguridad jurídica e intangibilidad de las resoluciones judiciales. Afirma también que no es de recibo que el Ministerio público haga uso de un recurso de súplica no tanto para que se modificara una resolución por entenderla no ajustada a Derecho, cuanto como un medio de suspender la ejecución de esa resolución para valorar la posible aplicación al procedimiento de una determinada doctrina jurídica. Además indica que la Audiencia Nacional resuelve al margen y, en cierto modo, en contradicción con las peticiones del Ministerio Fiscal, quien había solicitado exclusivamente la suspensión de la providencia que aprobaba el licenciamiento definitivo, mas no su revocación, decisión ésta que se adopta sin que ninguna parte se la hubiera solicitado y cuando acababa de aprobar la fecha de licenciamiento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solicita el amparo constitucional por vulneración del derecho a la tutela judicial efectiva en relación al derecho de acceso a los recursos reconocido en el art. 24.1 CE. Se articula este segundo motivo de amparo al entender que el Auto de la Sala de lo Penal del Tribunal Supremo de 30 de abril de 2009, lejos de reparar la lesión del derecho fundamental, transgrede el derecho consagrado en el art. 24.1 CE, y en cuya virtud se reconoce el derecho de acceso a los recursos. A su juicio, el Auto señalado es arbitrario e irrazonable, lo que determina la lesión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solicita el amparo constitucional por vulneración de la dignidad humana (art. 10 CE) y de la proscripción de tratos inhumanos y degradantes del art. 15 CE, todo ello en relación con el art. 25.2 CE. Señala el demandante de amparo que la decisión adoptada tanto por la Audiencia Nacional como por la Sala de lo Penal del Tribunal Supremo no está aplicando una nueva interpretación de un artículo y con ello una simple ejecución de una pena, sino que implica afrontar una situación nueva que modifica su vida acarreando sufrimiento y provocando cierta humillación, al haber visto aplazado su licenciamiento definitivo en diez años más, traspasando límites inhumanos y atentatorios contra su dignidad personal. A su juicio, el nuevo criterio, después de más de ocho años de aplicación de otro distinto, supone un atentado contra la dignidad de la persona (art. 10 CE), y la proscripción de penas o tratos inhumanos o degradantes del art. 15 CE. Asimismo, afirma que llevar a efecto lo dispuesto en el Auto de la Sala de lo Penal del Tribunal Supremo supondría ir contra el fin último de las penas privativas de libertad, la reeducación y reinserción social recogido en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por providencia de 31 de marzo de 2011, admitió a trámite la demanda y, de conformidad con lo dispuesto en el art. 51 de la Ley Orgánica del Tribunal Constitucional (LOTC), acordó dirigir atenta comunicación a la Sala de lo Penal del Tribunal Supremo y a la Sección Primera de la Sala de lo Penal de la Audiencia Nacional, a fin de que, en plazo que no excediera de diez días, remitiesen certificación o fotocopia adverada de las actuaciones correspondientes, respectivamente, al recurso de casación núm. 10.931-2008 y a la ejecutoria núm. 13-1994, debiendo la Audiencia emplazar previamente a quienes hubieran sido parte en el procedimiento, a excepción del demandante de amparo, para que pudieran comparecer en el plazo de diez días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Constitucional, por diligencia de ordenación de 25 de octubre de 2011, acordó tener por personado y parte en el procedimiento al Procurador don Carlos Ibáñez de la Cadiniere en nombre y representación de don Jesús Manuel Carro Otero, y dar vista de las actuaciones recibidas a las partes personadas y al Ministerio Fiscal, por plazo común de veinte días, para que de conformidad con lo dispuesto en el art. 52.1 LOTC presentaran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3 de noviembre de 2011, don Jesús Manuel Carro Otero solicitó que se le tuviese por apartado del presente procedimiento por no tener en la actualidad interés directo en el mismo, lo que fue acordado por providencia de 14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evacuó el trámite de alegaciones mediante escrito registrado el 1 de diciembre de 2011, en el que se remite a cuanto argumentó previamente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evacuó el trámite de alegaciones mediante escrito registrado el 1 de diciembre de 2011, en el que se remite a cuanto argumentó previamente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enero de 2012, el Pleno del Tribunal, de conformidad con lo establecido en el art. 10.1 n) LOTC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señaló para la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el 30 de abril de 2009 por la Sala de lo Penal del Tribunal Supremo, que declaró no haber lugar a la admisión del recurso de casación formulado contra el Auto de la Sección Primera de la Sala de lo Penal de la Audiencia Nacional recaído el 23 de mayo de 2008 en la ejecutoria núm. 13-1994.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con mayor detalle en los antecedentes de esta resolución, el demandante de amparo fue condenado a diversas penas que, una vez acumuladas en virtud de lo establecido en el art. 70.2 del Código penal (CP) de 1973, dieron lugar a que la Audiencia Nacional fijara en treinta años de privación de libertad el tiempo total de cumplimiento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los beneficios penitenciarios derivados de la redención de penas por el trabajo desde que inició el cumplimiento de la condena debieran calcularse sobre los mencionados treinta años, mientras que las resoluciones judiciales impugnadas aplican el criterio establecido por la Sala de lo Penal del Tribunal Supremo en su Sentencia 197/2006, de 28 de febrero, conforme a la cual el beneficio de la redención de penas por el trabajo reconocido en el art. 100 CP 1973 ha de aplicarse no a ese máximo de cumplimiento, sino a cada una de las penas impuestas en las diversas condenas, de modo que el cumplimiento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de amparo que las resoluciones impugnadas, en la medida en que aplican la mencionada doctrina, han vulnerado diversos derechos constitucionales: el derecho a la tutela judicial efectiva en su vertiente de intangibilidad de las resoluciones judiciales firmes (art. 24.1 CE) en relación con la libertad personal (art. 17.1 CE); el derecho a la tutela judicial efectiva en su dimensión de derecho de acceso a los recursos legalmente establecidos (art. 24.1 CE); y, por último, la dignidad de la persona (art. 10.1 CE) y la proscripción de los tratos inhumanos o degradantes (art. 15 CE) en relación al principio de que las penas privativas de libertad estén orientadas hacia la reeducación y reinserción social (art. 25.2 CE). Coincide parcialmente con este parecer el Ministerio Fiscal, el cual estima que se ha vulnerado el derecho a la intangibilidad de las resoluciones judiciales firmes (art. 24.1 CE), en relación con los principios de legalidad penal y de irretroactividad de lo desfavorable para el reo (arts. 25.1 y 9.3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quejas esgrimidas en la demanda de amparo debe descartarse, ya desde el inicio, la relativa a la vulneración del art. 25.2 CE, al que de modo instrumental se vincula la lesión de la dignidad de la persona reconocida en el art. 10 CE y del derecho a la proscripción de tratos inhumanos y degradantes (art. 15 CE). Este Tribunal ha declarado reiteradamente que el art. 25.2 CE no contiene un derecho subjetivo, ni menos aún un derecho fundamental, susceptible de protección en vía de amparo, sino tan sólo un mandato del constituyente al legislador y a la Administración penitenciaria para orientar la ejecución de las penas privativas de libertad (por todas, SSTC 115/2003, de 16 de junio, FJ 3; y 299/2005, de 21 de noviembre, FJ 2). Del mismo modo, hemos señalado que el art. 25.2 CE no establece que la reeducación y la reinserción social sean las únicas finalidades legítimas de las penas privativas de libertad ni, por lo tanto, que haya de considerarse contraria a la Constitución la aplicación de una pena que pudiera no responder exclusivamente a dicha finalidad (por todas, STC 167/2003, de 29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aun cuando el nuevo criterio de cómputo de las redenciones dificulte objetivamente la posibilidad de reducir automáticamente el cumplimiento efectivo de la pena en determinados supuestos, singularmente aquellos en los que la duración de las penas acumuladas supere ampliamente los límites máximos de cumplimiento legalmente establecidos, es lo cierto que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otra perspectiva, sostienen el demandante y el Ministerio Fiscal que la aplicación de la nueva interpretación jurisprudencial sobre la forma de cómputo de la redención de penas por el trabajo ha vulnerado el derecho a la tutela judicial efectiva, en cuanto este derecho garantiza la intangibilidad de las resoluciones judiciales firmes (art. 24.1 CE). Concreta el Fiscal que el Auto mediante el que la Sala acordó acumular las diversas condenas impuestas al penado y fijar un límite máximo de cumplimiento, estableció las pautas para la ejecución de la condena, habiéndose visto modificado posteriormente con las resoluciones impugnadas en amparo, vulnerándose así el derecho del demandante a la intangibilidad de las resoluciones judiciales, que tiene engarce con el principio de legalidad (art. 25.1 CE) en relación con la prohibición de retroactividad de las normas penales perjudiciales para el reo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Sentencia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contestación judicial obtenida por el recurrente en las resoluciones judiciales que son objeto del presente recurso de amparo, al aplicar el nuevo criterio de cómputo de las redenciones a las penas impuestas,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el Abogado del Estado y el Ministerio Fiscal, y hemos recogido en los antecedentes de esta resolución una vez contrastados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en virtud de las Sentencias que se enumeran en los antecedentes de hecho de esta resolución a las penas que se detallan en sus respectivas partes dispositivas.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Audiencia Nacional, mediante Auto de 30 de junio de 1999, de conformidad con lo establecido en el art. 988 de la Ley de enjuiciamiento criminal (LECrim) en relación con lo dispuesto en la regla 2 del art. 70 del Código penal vigente en el momento de la comisión de los hechos, acordó acumular tales condenas y fijar, como máximo de cumplimiento, treinta años de privación de libertad. Por providencia se declaró la firmeza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centro penitenciario en el que se encontraba interno el demandante de amparo envió el 25 de abril de 2008 a la misma Sección Primera propuesta de licenciamiento definitivo con fecha 25 de mayo de 2008, condicionándolo a que el Juez de vigilancia penitenciaria confirmase la redención de cuarenta días correspondientes al cuarto trimestre de 2007. El Fiscal, en dictamen de 6 de mayo de 2008, se mostró conforme con esta fecha siempre que se cumpliera con la salvedad antedicha.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la repetida Sección Primera de 13 de mayo de 2008 se aprobó el licenciamiento definitivo del penado para el día 25 de mayo de 2008, condicionado a la previa aprobación por el Juzgado de Vigilancia Penitenciaria de los cuarenta días de redención correspondientes al cuarto trimestre del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luz del oficio remitido por el Juzgado de Vigilancia Penitenciaria, la Sección, por providencia de 16 de mayo de 2008 fijó nueva fecha de licenciamiento definitivo para el 7 de abril de 2008. De esta providencia se dio traslado al Ministerio Fiscal para que informara a la mayor urgencia sobre dicho licenciamiento y en dictamen de la misma fecha el Fiscal interpuso recurso de súplica contra la providencia de 13 de mayo de 2008, por la que se acordaba el licenciamiento definitivo del penado, a fin de que se deje sin efecto el mismo por ser necesario comprobar si le es aplicable al referido penado la doctrina emanada de la Sentencia de la Sala de lo Penal del Tribunal Supremo 197/2006,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por Auto de 23 de mayo de 2008 estimó el recurso de súplica del Ministerio Fiscal y la defensa del demandante recurrió en casación el Auto, recurso que fue desestimado por Auto de la Sala de lo Penal del Tribunal Supremo de 30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ninguna de las resoluciones judiciales a las que aluden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y de la Audiencia Nacional a las que alude el demandante en el motivo de amparo,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en amparo ignoren o pongan en cuestión la firmeza e intangibilidad de lo decidido por el Juzgado de Vigilancia Penitenciaria. La providencia que fijó la fecha de licenciamiento definitivo no dejó sin efecto dichas redenciones, sino que, en ejercicio de las competencias que legalmente tiene atribuidas el Tribunal sentenciador, las computó sucesivamente sobre las penas impuestas al recurrente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la Sección Primera de la Sala de lo Penal de la Audiencia Nacional de 30 de junio de 1999 de acumulación de condenas y fijación del límite máximo de cumplimiento, esta resolución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existe vulneración del derecho a la tutela judicial efectiva en su vertiente de intangibilidad de las resoluciones judiciales firmes (art. 24.1 CE), ni, en consecuencia, vulneración del derecho a la libertad personal (art. 17.1 CE) por esta causa.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ejecutoria, de alcanzar su libertad en un momento distinto al que resulta de las resoluciones judiciales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en relación con la queja de vulneración del derecho a la tutela judicial efectiva (art. 24.1 CE) en su vertiente de derecho de acceso a los recursos legalmente establecidos, es lo cierto que, por más que el Auto de la Sala de lo Penal del Tribunal Supremo utilice la fórmula de “no haber lugar a la admisión” para denegar el recurso de casación que el demandante de amparo había formulado, sin embargo, lo cierto es que no hay un rechazo a limine del recurso sino que, por el contrario, se examinan y resuelven en el Auto las pretensiones casacionales de forma extensa y detallada, por lo que en modo alguno se ha producido la invocada denegación del derecho de acceso a un recurso legalmente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Charlín Gama.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6285-2009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