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3723-2011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3723-2011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solicitada por don Eduardo González Nájera en el recurso de amparo núm. 3723-2011.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28 de junio de 2011, la Procuradora de los Tribunales doña Sara Carrasco Machado, en nombre y representación de don Eduardo González Nájera, interpuso recurso de amparo contra las resoluciones que figuran en el encabezamiento.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otrosí, el recurrente solicitaba, al amparo de lo dispuesto en el art. 56 de la Ley Orgánica del Tribunal Constitucional (LOTC), la suspensión de la ejecución de la Sentencia objeto de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Sentencia del Juzgado de lo Penal núm. 2 de Logroño de 2 de noviembre de 2010 condenó al demandante de amparo, como autor de seis delitos de abusos sexuales, a dos años de prisión por cada uno de ellos, inhabilitación especial para el ejercicio de sufragio pasivo durante el tiempo de la condena, inhabilitación para el ejercicio de su profesión de profesor por tiempo de seis años, prohibición de acercarse a menos de 200 metros de las víctimas, sus domicilios, colegios y lugares que frecuenten, así como de comunicar con ellas, por tiempo de cinco años, y al pago de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dicha Sentencia interpuso el demandante recurso de apelación, que fue desestimado por Sentencia de la Audiencia Provincial de La Rioja (Sección Primera) de 2 de mayo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por providencia de 16 de febrero de 2012, acordó admitir a trámite la demanda de amparo y, en aplicación de lo dispuesto en el art. 51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igual fecha, se acordó formar la oportuna pieza para la tramitación del incidente de suspensión y, de conformidad con lo dispuesto en el art. 56.4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de alegaciones presentado el 27 de febrero de 2011, solicita que se deniegue la suspensión solicitada. Respecto de la pena privativa de libertad, argumenta que, pese a que por aplicación del art. 76 del Código penal la pena a cumplir será la de seis años de prisión, teniendo en cuenta la entidad de la misma, los bienes jurídicos protegidos y que, por su duración, una eventual pérdida de la finalidad del amparo sólo sería parcial, debe denegarse la suspensión. En segundo lugar, la pena de inhabilitación para el ejercicio de su profesión, y la del pago de las cotas procesales, admite su restitución íntegra, por lo que no debe ser suspendida. Y tampoco debe serlo la pena de prohibición de aproximación y comunicación con las víctimas, en aras a la protección de éstas.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evacuó el citado trámite a través de un escrito presentado en el Registro General de este Tribunal el 28 de febrero de 2012, en el que reiteró su solicitud de suspensión, argumentando que la pena de prisión a cumplir sería de seis años y que la ejecución de la misma puede ocasionarle perjuicios irreparables y frustrar la finalidad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1/2010, de 11 de enero, y 18/2011, de 28 de febrero,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12/2009, de 26 de enero; 112/2011, de 18 de julio).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entre otros muchos, en los AATC 462/2007, de 17 de diciembre; 116/2008, de 28 de abril, y 18/2011, de 28 de febrero,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pues el art. 56 LOTC responde a la necesidad de mantener un equilibrio entre los intereses del recurrente, los generales de la sociedad y los derechos de terceros (AATC 369/2005, de 24 de octubre, FJ 2; 214/2007, de 16 de abril, FJ 2; 287/2007, de 18 de junio, FJ 2; 18/2011, de 28 de febrero, FJ 2) y, deben también ponderarse, en consecuencia,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 En relación con este criterio de gravedad de la pena, este Tribunal viene aplicando como directriz inicial la de que la pena se sitúe por encima o por debajo de la frontera de los cinco años de prisión (AATC 16/2009, de 26 de enero; 18/2011, de 28 de febrero, FJ 2), que es la que le sirve al legislador penal para diferenciar entre las penas graves y las menos graves (art. 33 del Código penal: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partir de tales presupuestos, y en consonancia con la solicitud del Ministerio Fiscal, procede denegar la suspensión interesada. En aplicación de la regla de acumulación del art. 76 CP, la pena máxima a cumplir por el demandante sería de seis años de prisión, que se halla por encima del citado margen de gravedad con que, como regla general, opera este Tribunal; junto a ello, no cabe desatender que la condena se basa en la comisión de seis delitos de abusos sexuales, que afectan a bienes jurídicos esenciales, y que, como el propio recurrente manifiesta, aún no se ha dado comienzo a la ejecución de la pena, por lo que la suspensión no se revela imprescindible para preservar la efectividad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y aunque en sus escritos el recurrente se refiere únicamente a los perjuicios que le ocasionaría la privación de libertad y restrinja su petición a la suspensión de la pena de prisión, sin realizar referencia expresa alguna, es notorio que tampoco cabe acordar su suspensión al resto de pronunciamientos de las resoluciones impugnadas. La pena de inhabilitación para el ejercicio del sufragio pasivo, en atención a su carácter accesorio (AATC 408/2005, de 21 de noviembre, FJ 2; 112/2011, de 18 de julio, FJ 2); las penas de inhabilitación para el ejercicio de la profesión de profesor, y la del pago de las costas procesales, dada su naturaleza económica, admiten su restitución íntegra y son, por tanto, susceptibles de reparación (ATC 59/2008, de 20 de febrero; 112/2011, de 18 de julio, FJ 2). Y por lo que respecta a la prohibición de aproximación y comunicación con las víctimas durante cinco años, la afección a la libertad y, con ello, la irreparabilidad del perjuicio derivado de la misma, es sensiblemente menor que la que se derivaría de la pena de prisión, debiendo atenderse también a que la finalidad de la sanción consiste en otorgar la máxima protección a las víctimas, a la cual, en circunstancias como las que presenta el concreto supuesto, debe otorgarse particular relevancia en la ponderación sobre la procedencia de la suspensión. Así, en supuestos similares hemos denegado la suspensión atendiendo a que “la imposición en la Sentencia de la pena de alejamiento de la víctima tiene por objeto proteger la integridad física de aquélla —que constituye, asimismo, un derecho fundamental— frente a eventuales nuevos ataques, y que la restricción de la libertad ambulatoria del actor a dicha pena es mínima” (AATC 53/2003, de 10 de febrero, FJ 2; 12/2012, de 30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solicitada por don Eduardo González Nájera en el recurso de amparo núm. 3723-2011.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