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7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1473-2010, planteada por el Juzgado de lo Contencioso-Administrativo núm. 12 de Barcelona, en relación con los apartados 2 y 3 del art. 132 de la Ley 30/1992, de 26 de noviembre, de régimen jurídico de las Administraciones públicas y del procedimiento administrativo común (tal como han sido interpretados con carácter vinculante por las Sentencias en interés de ley de la Sala de lo Contencioso-Administrativo del Tribunal Supremo de 15 de diciembre de 2004 y 22 de septiembre de 2008), por posible infracción de los arts. 9 y 103 de la Constitución Española. Han intervenido el Abogado del Estado y el Fiscal General del Estado.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febrero de 2010 tuvo entrada en el Registro General de este Tribunal oficio del Juzgado de lo Contencioso-Administrativo núm. 12 de Barcelona al que se acompañaba, junto con testimonio del procedimiento abreviado núm. 304-2008 tramitado en ese órgano judicial, Auto del referido Juzgado de 11 de febrero del mismo año por el que se acuerda elevar a este Tribunal cuestión de inconstitucionalidad con respecto a los apartados 2 y 3 del art. 132 de la Ley 30/1992, de 26 de noviembre, de régimen jurídico de las Administraciones públicas y del procedimiento administrativo común (LPC), tal como han sido interpretados con carácter vinculante por las Sentencias de la Sala de lo Contencioso-Administrativo del Tribunal Supremo de 15 de diciembre de 2004 y 22 de septiembre de 2008, por su posible contradicción con los arts. 9 y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presente cuestión de inconstitucionalidad se eleva con ocasión de la tramitación, por los cauces del procedimiento abreviado, del recurso contencioso-administrativo interpuesto por una empresa de transportes contra la resolución del Conseller del Departamento de política territorial y obras públicas de la Generalitat de Cataluña de 18 de abril de 2008, que confirma en alzada la resolución de 15 de octubre de 2004, del Director general de puertos y transportes del referido Departamento por la que se impone una multa de 2.001 euros, por infracción del art. 140.24 de la Ley 16/1987, de 30 de julio, de ordenación de los transportes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Concluido el proceso y habiendo quedado vistos los autos para Sentencia, por providencia de 17 de diciembre de 2009 el Juzgado acordó la suspensión del plazo para dictar Sentencia y, de conformidad con el art. 35.2 de la Ley Orgánica del Tribunal Constitucional (LOTC), requirió a las partes y al Ministerio Fiscal para que, por plazo común de diez días, alegaran cuanto estimasen oportuno en relación con la pertinencia de plantear cuestión de inconstitucionalidad en relación con los apartados 2 y 3 del art. 132 LPC, tal como han sido interpretados con carácter vinculante por las Sentencias en interés de ley de la Sala de lo Contencioso-Administrativo del Tribunal Supremo de 15 de diciembre de 2004 y 22 de septiembre de 2008, por la eventual colisión de estos preceptos con los principios de seguridad jurídica y eficacia de la Administración pública establecidos en los artículos 9 y 103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la empresa demandante formuló alegaciones concluyendo la inconstitucionalidad del art. 132 LPC en la interpretación realizada por el Tribunal Supremo en las sentencias dictadas en casación en interés de ley antes citadas. Por su parte, tanto la Letrada de la Generalitat de Cataluña como el Ministerio Fiscal se pronunciaron en contra del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11 de febrero de 2010 el Juzgado de lo Contencioso-administrativo núm. 12 de Barcelona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Juzgado fundamenta el planteamiento de la cuestión en las consideraciones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juicio de relevancia, afirma que debe entenderse cumplido por cuanto en el debate procesal se ha suscitado la prescripción de la infracción y de la sanción. Como quiera que la tramitación del recurso de alzada superó tanto el plazo de prescripción de la infracción como de la sanción, razona el Juzgado que el fallo depende no ya del hecho de que haya transcurrido el plazo fijado legalmente para una u otra alternativa sino de la forma de computar los plazos y, en concreto, de las fechas de inicio y final de cada uno de los periodos. De ahí que la validez constitucional de los apartados 2 y 3 del art. 132 LPC en la interpretación dada a los mismos por la jurisprudencia dictada en casación en interés de ley por el Tribunal Supremo sea determinante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tras exponer el régimen legal del cómputo de la prescripción de infracciones y sanciones y recordar brevemente los fundamentos de las Sentencias de 15 de diciembre de 2004 y 22 de septiembre de 2008 dictadas por el Tribunal Supremo en casación en interés de ley, explica la repercusión que dicha interpretación tiene sobre los principios de seguridad jurídica y eficacia de la Administración. En cuanto al primero señala que las interpretaciones jurisprudenciales llevan a la admisión de un lapso de tiempo indeterminado en el que no opera la prescripción de la infracción pero tampoco de la sanción lo que lleva al bloqueo de una institución cuyo origen y sentido se encuentra en el principio de seguridad jurídica. Existe, en su opinión, un valor constitucional básico en la institución de la prescripción en materia sancionadora que no puede ser enervado por la quiebra del tracto sucesivo entre ambas prescripciones que no encuentra apoyo en otros valores constitucionales prevalentes.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relación con su repercusión en el principio de eficacia, afirma que la admisión de un régimen que libera a la Administración de las consecuencias negativas del silencio administrativo pone en cuestión el principio de eficacia de la Administración que se ha expresado recientemente en la configuración de un derecho subjetivo a la buena administración que ha sido reconocido en la Carta de derechos fundamentales aprobada por el Tratado de Lisboa y en el art. 30 del Estatuto de Cataluña, y que determina que nos encontremos con una cuestión de rango constitucional aunque sea, nuevamente, por conexión de este imperativo constitucional con el de prohibición de la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por último que existen diferencias entre la presente cuestión y las inadmitidas por AATC 10/2006 y 11/2006, ambos de 17 de enero, y 404/2006, de 8 de noviembre. Los razonamientos que fundaron tales decisiones parten de una primera consideración sobre la diferencia que debe establecerse entre las cuestiones que afectan a derechos fundamentales y las que se refieren a otros preceptos constitucionales, y se consideró que el régimen legal del cómputo de la prescripción no planteaba problemas de constitucionalidad por cuanto el mandato legal y sus consecuencias quedan claras con la interpretación que el Tribunal Supremo introdujo en 2004. Pero desde entonces, añade, se han producido novedades con la interpretación que este mismo Tribunal realizó de la cuestión en 2008 y en determinados ámbitos el principio de eficacia se proyecta en un derecho subjetivo a la buena administración. Entiende el juzgador que lo argumentado en el Auto de planteamiento de la cuestión no es lo mismo que se planteó en aquellas cuestiones de inconstitucionalidad pues no se trata de la afectación a los derechos de presunción de inocencia y tutela judicial efectiva sino de la afectación a los principios de seguridad jurídica y eficacia administrativa desde una perspectiva diferente a la entonces tenida en cuenta. Lo que ahora se expone es, en primer lugar, cómo siendo indudable el sentido del precepto y las consecuencias que genera la interpretación conjunta de ambos apartados permite la pervivencia ilimitada en el tiempo de las acciones administrativas punitivas y, en segundo lugar, la vinculación de los principios de seguridad jurídica y de eficacia administrativa con la prohibición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abril de 2010 el Pleno, a propuesta de la Sección Primera, acordó admitir a trámite la presente cuestión de inconstitucionalidad y dar traslado de las actuaciones recibidas, conforme establece el art. 37.3 LOTC, al Congreso de los Diputados y al Senado, por conducto de sus respectivos Presidentes; al Gobierno, a través del Ministro de Justicia y al Fiscal General del Estado, al objeto de que, en el plazo de quince días, pudieran personarse en el proceso y formular alegaciones. Se acordó igualmente comunicar esta providencia al Juzgado de lo Contencioso-administrativo núm. 12 de Barcelona a los efectos previstos en el art. 35.3 LOTC y publicar la incoación del procedimiento en el “Boletín Oficial del Estado”, lo que se verificó en el núm. 60, de 10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por escrito registrado en este Tribunal el 28 de abril de 2010 el acuerdo adoptado por la Mesa de la Cámara, en su reunión del día 27 de abril de 2010,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29 de abril de 2010, el Presidente del Congreso de los Diputados comunicó el acuerdo adoptado por la Mesa de la Cámara, en su reunión de 27 de abril de 2010,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se personó y presentó escrito de alegaciones el 10 de mayo de 2010, en el que, tras advertir que la presente cuestión es virtualmente idéntica a las numeradas 9689-2009 y 9690-2009, considera que se trata de una cuestión inadmisible porque el Juzgado no exterioriza debidamente el juicio de relevancia (art. 35.1 LOTC) y, en cualquier caso, porque los apartados del art. 132 LPC que se cuestionan no son realmente relevantes para el fallo a dictar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que el propósito del Juez proponente es que el Tribunal Constitucional declare que se reinicia la prescripción de la infracción o de la sanción también durante la pendencia del recurso de alzada superando la doctrina en interés de ley sentada en las SSTS de 15 de diciembre de 2004 y 22 de septiembre de 2008, siendo la cuestión de inconstitucionalidad un medio inadecuado para ello por cuanto en ella no cabe ventilar controversias interpretativas entre Tribunales del Poder judicial pues si lo que tiene por objeto no son los preceptos legales cuestionados sino la interpretación judicial, lo que se pretendería expulsar de ordenamiento no es tanto los preceptos legales impugnados sino la jurisprudencia del Tribunal Supremo en torno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subraya que la sanción recurrida se impuso por una infracción contemplada en la Ley de ordenación de los transportes terrestres, cuyo art. 145 fija el plazo de prescripción de las infracciones y remite en lo demás a la Ley de régimen jurídico de las Administraciones públicas y del procedimiento administrativo común y sin embargo, pese a ser el art. 145 de la Ley de ordenación de los transportes terrestres el directamente aplicable, la cuestión se plantea en relación a los dos apartados del art. 132 LPC al que aquél remite. No existe, sin embargo, en su opinión, en la dicción de los apartados antes citados la más mínima relación con la prescriptibilidad de la sanción o de la infracción durante la pendencia del recurso de alzada, pues el legislador no se ha pronunciado sobre ello por lo que concluye que lo que se pretende es que el Tribunal Constitucional supla la insuficiencia normativa. Pero si se invalidaran los preceptos legales cuestionados no por ello podría entenderse integrado o complementado el régimen de las infracciones y sanciones administrativas en el sentido de permitir el curso de la prescripción durante la pendencia de la alzada sino que, por el contrario, se habría ampliado el tamaño de la laguna. Lo que se pretende, en definitiva, con el planteamiento de esta cuestión es que el Tribunal Constitucional, desbordando su jurisdicción, sustituya la interpretación sentada por el Tribunal Supremo en las citadas Sentencias en interés de ley por la que el Juzgado promotor de la cuestión tiene in 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solicita el Abogado del Estado la desestimación de la presente cuestión, pues entiende que, de entrarse en el fondo del asunto, debe concluirse que no existe infracción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es claro que la regulación contenida en los apartados 2 y 3 del art. 132 LPC en modo alguno quebranta el principio de eficacia administrativa (art. 103.1 CE). El retraso en la resolución de los recursos de alzada contra sanciones administrativas es causado por la masiva interposición de estos recursos, que se explica por el efecto de inejecutividad que el legislador ha anudado a la interposición del recurso administrativo (art. 138.3 LPC, no cuestionado). Y si a lo anterior se añadiera la posibilidad a la que apunta el Auto de planteamiento de la cuestión de que infracciones o sanciones no firmes pudieran prescribir mientras que el recurso de alzada no fuera expresamente desestimado, el resultado sería la masiva impunidad de conductas constitutivas de ilícitos administrativos y, por ello, la desprotección de los bienes jurídicos que pretenden tutelarse con el régimen sancionador administrativo, lo que seguramente no sería muy congruente con el genuino y adecuado concepto de eficacia administrativa que refleja el art. 103.1 CE. Por otra parte, la conexión que realiza el Juzgado del principio de eficacia administrativa con el principio de interdicción de la arbitrariedad no aparece razonada en el Auto de planteamiento, y ciertamente resulta bastante difícil de imaginar en qué pueda consistir. Ni se puede dirigir un reproche tan grave al legislador como es el de incurrir en arbitrariedad porque no regule expresamente todos los puntos que al órgano judicial encargado de aplicar la ley le gustaría ver resueltos en el texto legal, ni una eventual actuación arbitraria de la Administración en modo alguno convierte en arbitraria la norma legal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pretendida vulneración del principio de seguridad jurídica (art. 9.3 CE), sostiene el Abogado del Estado que resulta inconsistente si se entiende referida a los apartados 2 y 3 del art. 132 LPC, pues no cabe reprochar al legislador una suerte de omisión o insuficiencia por no haber establecido positivamente que, durante la pendencia del recurso de alzada, se reanuden los plazos de prescripción. En la Constitución no puede hallarse base para la pretensión de favorecer al máximo la prescriptibilidad de infracciones y sanciones administrativas en beneficio de los infractores y en perjuicio de los bienes jurídicos tutelados por el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supuesta infracción del principio de seguridad jurídica resultaría igualmente infundada, según el Abogado del Estado, si se entendiese referida a la doctrina sentada en las Sentencias en interés de ley de la Sala de lo Contencioso-Administrativo del Tribunal Supremo de 15 de diciembre de 2004 y 22 de septiembre de 2008, como se desprende de los AATC 10/2006 y 11/2006, de 17 de enero, y 404/2006, de 8 de noviembre, que niegan la infracción por la referida doctrina legal del principio de seguridad jurídica en sus dos vertientes, objetiva (certeza) y subjetiva (previsibilidad), pues es perfectamente clara la regla según la cual, mientras no se resuelva el recurso de alzada contra la resolución sancionadora, ésta no es ejecutable. De este modo, la pendencia del recurso de alzada, transcurrido el plazo legalmente previsto para dictar resolución expresa, supone que se prolonga la falta de ejecutividad de la sanción, lo que resulta favorable para el interesado; pero, lógicamente, esto lleva consigo una desventaja, aunque menor, pues la suspensión de la ejecutividad de la sanción durante la pendencia del recurso de alzada implica a su vez que no pueda correr el plazo de prescripción. Lo que no cabe es beneficiarse de la no ejecutividad de la sanción por la interposición del recurso de alzada y al propio tiempo pretender que se produzca por su pendencia la prescripción de la infracción o de la sanción. Tal pretensión sería ajena —concluye el Abogado del Estado— al principio de seguridad jurídica (art. 9.3 CE), que no obliga a maximizar la ventajas de los infractores administrativos que recurren en alzada ni a optimizar sus posibilidades de quedar impunes.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junio de 2010 tuvo entrada el escrito de alegaciones del Fiscal General del Estado. En él, tras referir los antecedentes del caso y afirmar que se cumplen los requisitos procedimentales a que se refiere el art. 35.2 LOTC, el Fiscal General del Estado recuerda que este Tribunal ha tenido ocasión de pronunciarse en sus AATC 10/2006, 11/2006 y 404/2006, sobre la doctrina legal contenida en la Sentencia en interés de ley de la Sala de lo Contencioso-Administrativo del Tribunal Supremo de 15 de diciembre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la doctrina constitucional en materia de seguridad jurídica, considera que no es la normativa sobre prescripción de la infracción y sanción administrativa del precepto legal cuestionado la que genera una situación de inseguridad jurídica, ni tampoco la interpretación por la doctrina legal de manera separada siendo, por el contrario, la conjunción de ambas doctrinas la que provoca un resultado no deseado que distorsiona la aplicación de la prescripción que no puede ser corregida de oficio por el Tribunal Supremo. Entiende que la doctrina establecida en la Sentencia de 2004 se aparta de la doctrina seguida por el propio Tribunal Supremo para la prescripción de los delitos y faltas sin que haya razón alguna de esta diferencia cuando el ilícito administrativo no es sino una manifestación más del ius puniendi, concluyendo que las consecuencias de la conjunción de ambas doctrinas genera una situación de interinidad o provisionalidad sobre la operatividad de la prescripción, que no es provocada por el administrado, y desproporcionada con la finalidad de la norma que regula la prescripción. En cuanto a la infracción del principio de eficacia, considera la Fiscalía que en cuanto el legislador impone a la Administración, como un fin público, procurar la resolución en el plazo previsto, la resolución del recurso de alzada fuera del plazo legalmente previsto resultaría contrario al principio constitucional de eficacia salvo que fuera razonable uno más largo por la complejidad del asunto. En este caso, además, la situación jurídica generada por la falta de eficacia de la Administración sólo proyecta sus consecuencias sobre el administrado cuando debería prevalecer, frente al mal funcionamiento de la Administración, el interés de quien ha cumplido correctamente con sus obligaciones sin que la Administración pueda beneficiarse del incumplimiento de su obligación de resolver y notificar.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no obstante, el Fiscal General del Estado que aunque se hayan desconocido los principios de seguridad jurídica y eficacia, en la medida que el desconocimiento no nace del precepto cuestionado sino de la doctrina legal establecida por las Sentencias de 2004 y 2008, debe desestimarse la cuestión de inconstitucionalidad planteada al considerar que la doctrina del Tribunal Supremo dictada en interés de ley, a pesar de su carácter vinculante, es una resolución judicial y no una norma legal, por lo que quedaría excluida del control de este Tribunal mediante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del Pleno de 17 de abril de 2012 se acuerda, de conformidad con lo dispuesto en el artículo 10.1 c) LOTC, deferir a la Sala Primera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 de mayo de 2012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12 de Barcelona plantea cuestión de inconstitucionalidad respecto de los apartados 2 y 3 del art. 132 de la Ley 30/1992, de 26 de noviembre, de régimen jurídico de las Administraciones públicas y del procedimiento administrativo común (LPC), tal como han sido interpretados con carácter vinculante por las Sentencias en interés de la ley de la Sala de lo Contencioso-Administrativo del Tribunal Supremo de 15 de diciembre de 2004 y 22 de septiembre de 2008. Según el órgano judicial promotor de la cuestión, esa interpretación vinculante ex art. 100.7 de la Ley reguladora de la jurisdicción contencioso-administrativa (LJCA) comporta la vulneración tanto del principio de seguridad jurídica (art. 9.3 CE), como del principio de eficacia administrativa (art. 103.1 CE), en conexión con el principio de interdicción de la arbitrariedad de los poderes públicos, puesto que no se encuentra justificación razonable o proporcionada para esa interpretación, en cuanto impone un régimen de cómputo de la prescripción de infracciones y sanciones que permite la pervivencia ilimitada en el tiempo de la acción punitiva en el supuesto de inactividad de la Administración en la resolución del recurso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las dudas de constitucionalidad que se plantean en la presente cuestión han sido ya resueltas por este Tribunal en su reciente STC 37/2012, de 19 de marzo, que desestima la cuestión de inconstitucionalidad promovida por otro Juzgado del orden contencioso-administrativo también respecto del art. 132 LPC (aunque no sólo) con el contenido vinculante sentado por las referidas Sentencias en interés de ley, y con fundamentos similares, por lo que bastará aquí con remitirse a lo razonado en la STC 37/2012, en lo que tiene de coincidente con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37/2012, FJ 2, comenzamos por precisar que ha de entenderse (aunque no se exprese en estos mismos términos en el Auto de planteamiento) que lo que se cuestiona no es, en realidad, una mera interpretación jurisprudencial del Tribunal Supremo (en cuyo caso habríamos de declarar la inadmisibilidad de la cuestión), sino la constitucionalidad de determinados preceptos legales [en aquel caso los arts. 81 de la Ley sobre tráfico, circulación de vehículos a motor y seguridad vial (LSV) y 132 LPC], cuyo contenido vinculante para el Juzgado promotor de la cuestión ha sido determinado conforme a lo dispuesto en el art. 100.7 LJCA por la Sala de lo Contencioso-Administrativo del Tribunal Supremo, como último y superior intérprete de la legalidad ordinaria, sin perjuicio de las competencias del Tribunal Constitucional (arts. 123.1 CE), en las Sentencias en interés de ley de 15 de diciembre de 2004 y 22 de septiembre de 2008; y ello porque a partir de la publicación de las referidas sentencias y para los órganos judiciales inferiores en grado de la jurisdicción contencioso-administrativa, los concretos preceptos cuestionados sólo pueden ser interpretados y aplicados en la forma establecida por el Tribunal Supremo en las citadas sentencias y no en ninguna otra. Esta misma precisión resulta pertinente en el presente caso, en el que se cuestionan los apartados 2 y 3 del art. 132 LPC con el contenido vinculante fijado por las referidas Sentencias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Descartamos asimismo en la STC 37/2012 la duda de constitucionalidad planteada entonces con carácter principal sobre los arts. 81 LSV y 132 LPC, con el contenido normativo de tales preceptos establecido, para los órganos judiciales inferiores en grado del orden contencioso-administrativo, por las Sentencias en interés de ley de la Sala de lo Contencioso-Administrativo del Tribunal Supremo de 15 de diciembre de 2004 y 22 de septiembre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lo que se refiere a la pretendida vulneración del principio de seguridad jurídica —duda de constitucionalidad coincidente con la planteada en la presente cuestión— resulta que, con cita de nuestra reiterada doctrina al respecto, declaramos en la citada STC 37/2012 que “no cabe apreciar aquí incidencia en la vertiente objetiva —certeza— ni en la subjetiva —previsibilidad— del principio de seguridad jurídica (art. 9.3 CE), puesto que el mandato normativo de los preceptos cuestionados –arts. 81 LSV y 132 LPC– aparece enunciado, con el contenido establecido por la Sala de lo Contencioso-Administrativo del Tribunal Supremo en sus Sentencias en interés de ley de 15 de diciembre de 2004 y 22 de septiembre de 2008, con la suficiente claridad como para eliminar cualquier sombra de incertidumbre acerca de su contenido y alcance en cuanto a la fijación del dies a quo del cómputo del plazo de prescripción de las infracciones y sanciones administrativas”. Además precisamos que “esa doctrina legal vinculante para Jueces y Tribunales inferiores en grado del orden jurisdiccional contencioso-administrativo no sólo preserva la seguridad jurídica, sino que además garantiza el objetivo de que el status jurídico de los ciudadanos en cuanto a la prescripción de las infracciones y sanciones administrativas sea igual en todo el territorio nacional (arts. 14 y 139.1 CE)” (STC 37/2012,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Afirmamos igualmente entonces que la doctrina legal sentada por el Tribunal Supremo en las citadas Sentencias, que determina el contenido normativo de los preceptos cuestionados para los órganos judiciales inferiores en grado del orden contencioso-administrativo (y por lo tanto los preceptos mismos), no contradice la doctrina constitucional sobre el silencio administrativo, configurado como una ficción legal que responde a la finalidad de que el ciudadano pueda acceder a la vía judicial superando los efectos de la inactividad de la Administración. De suerte que “[s]i la Administración incumple su obligación legal de resolver expresamente (y notificar su resolución) el recurso de alzada contra una resolución sancionadora dentro del plazo legalmente establecido, el interesado podrá optar por acudir a la vía judicial contra esa desestimación presunta o esperar a que se dicte por la Administración resolución expresa, sin que pueda apreciarse que la demora coloque en este caso a la Administración en mejor situación que aquella en la cual se habría encontrado si hubiera cumplido su obligación de resolver expresamente dentro de plazo el recurso de alzada, pues durante la pendencia del recurso administrativo se mantiene el efecto de la inejecutividad de la sanción, como recuerda el Abogado del Estado, inejecución que, sin duda alguna, no perjudica (más bien beneficia) al ciudadano que ha sido sancionado” (STC 37/2012,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de rechazarse, en suma, por las mismas razones que ya quedaron expresadas en la STC 37/2012, que los apartados 2 y 3 del art. 132 LPC, tal como han sido interpretados con carácter vinculante por las referidas Sentencias en interés de la ley, vulneren el principio de seguridad jurídica (art. 9.3 CE). Y asimismo debemos descartar la pretendida infracción del principio de eficacia administrativa (art. 103.1 CE), que se anuda por el Juzgado promotor de la presente cuestión al incumplimiento por la Administración de la obligación de resolver en plazo el recurso de alzada, pues aunque esa demora de la Administración pudiera ciertamente considerarse contraria a las exigencias del principio de eficacia administrativa, como señala el Fiscal General del Estado, es claro que ello en modo alguno resulta imputable a los preceptos legales cuestionados, con el contenido normativo establecido por las referidas Sentencias en interés de ley del Tribunal Supremo para los órganos judiciales inferiores en grado del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hemos de rechazar la supuesta infracción del principio de interdicción de la arbitrariedad (art 9.3 CE), no sólo porque no se haga mención del mismo en la providencia por la que se acuerda la apertura del trámite de audiencia (art. 35.2 LOTC), sino además, y en todo caso, porque tal duda de constitucionalidad, que se relaciona en el Auto de planteamiento con la pretendida vulneración de los principios de seguridad jurídica y eficacia administrativa, carece de sustantividad propia, pues no tiene otro sustento que la discrepancia del Juzgado promotor de la cuestión con la doctrina legal sentada en las referidas Sentencias en interés de ley, que determina el contenido normativo de los preceptos cuestionados, en cuanto a la imprescriptibilidad de la sanción durante la pendencia del recurso de alzada contra la resolución sancionadora. Debiendo, por lo demás, recordarse, como ya lo hiciéramos en la citada STC 37/2012, que “no corresponde al Tribunal Constitucional determinar cuál sea la interpretación preferible cuando son posibles —dentro de la Constitución— distintas interpretaciones judiciales de la legalidad ordinaria, y entre ellas pueda identificarse alguna que acaso hubiera respondido más plenamente a los valores incorporados a los derechos fundamentales u otros preceptos constitucionales” (STC 37/2012, FJ 12).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la cuestión de inconstitucionalidad núm. 1473-2010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 la Sala, expreso mi discrepancia parcial con el fallo y parte de la fundamentación jurídica de la Sentencia dictada en la presente cuestión de inconstitucionalidad remitiéndome a lo ya manifestado en el Voto particular que formulé a la STC 37/2012, de 19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mayo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