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8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1921-2002, interpuesto por el Consejo de Gobierno de la Junta de Comunidades de Castilla-La Mancha contra los arts. 89 y 90 de la Ley 24/2001, de 27 de diciembre, de medidas fiscales, administrativas y del orden social, al considerar que vulneran los arts. 2, 9.3 y 138.1, todos ellos de la Constitución Española. Han intervenido el Abogado del Estado, en la representación que ostenta, y el Letrado de las Cortes Generales, don Benigno Pendás García, en representación del Senado.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marzo de 2002 tuvo entrada en el Registro General de este Tribunal Constitucional un escrito del Letrado del Consejo de Gobierno de la Junta de Comunidades de Castilla-La Mancha por el que se interpone un recurso de inconstitucionalidad contra los arts. 89 y 90 de la Ley 24/2001, de 27 de diciembre, de medidas fiscales, administrativas y del orden social, al considerar que vulneran los arts. 2, 9.3 y 138.1, todos ellos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concretar el contenido de los preceptos impugnados y precisar su legitimación para interponer el presente recurso de inconstitucionalidad por afectar la regulación jurídica del trasvase Tajo-Segura contenida tanto en la Ley 52/1980, de 16 de octubre, como en el Real Decreto-ley 8/1995, de 4 de agosto, señala el representante del Consejo de Gobierno recurrente que al haberse introducido esas modificaciones en una ley —llamada vulgarmente— “de acompañamiento” a los presupuestos generales del Estado, se vulnera el principio de seguridad jurídica del art. 9.3 CE, como así ha señalado determinada doctrina científica, los propios dictámenes del Consejo de Estado (dictámenes núms. 3445-1996, de 3 de octubre, y 4908-1997, de 25 de septiembre) y el Voto particular de la STC 32/2000.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autonómico recurrente las leyes “de acompañamiento” o leyes “ómnibus” tienen su origen en la doctrina de este Tribunal acerca del contenido posible de las leyes de presupuestos contenida fundamentalmente en la STC 76/1992, que provocó que el Gobierno tramitase paralelamente a estas leyes, unas leyes de medidas a los efectos de incorporar aquellas normas sustantivas que no cumplieran los requisitos para integrarse en el contenido necesario o eventual de una ley de presupuestos, incurriendo así en una burla formal de aquella doctrina. Sin embargo, la técnica utilizada no salva el deterioro del principio de seguridad jurídica desde la perspectiva de la publicidad de las normas, pues este principio no sólo exige el cumplimiento de la formalidad de su publicación oficial sino también que por el modo en que ésta se realice permita a su destinatario su conocimiento sin necesidad de una diligencia extraordinaria. A su juicio, sin embargo, la acumulación de preceptos inconexos en una norma hace imposible el conocimiento por el ciudadano de los preceptos que se encuentra obligado a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señala el Letrado del Consejo de Gobierno castellano-manchego que las infracciones del procedimiento de elaboración de la norma conllevan igualmente la vulneración del principio consagrado en el art. 9.3 CE. A este respecto denuncia que en la tramitación de la Ley 24/2001 no han tenido intervención las Comunidades Autónomas, intervención que sería exigible a tenor de lo dispuesto en la Ley que aprueba el Plan hidrológico nacional y que responde a la lógica de ser oídas en las decisiones que puedan afectar a su ámbito de competencias, en este caso, las recogidas en el art. 31.1.2 del Estatuto de Autonomía de Castilla-La Mancha. También para el Consejo de Gobierno el hecho de que durante la tramitación del proyecto de ley intervengan las Comisiones de Economía y Hacienda del Congreso de los Diputados y la de Economía, Comercio y Turismo del Senado, y no la comisión competente por razón de cada materia, vulnera el art. 43 del Reglamento del Congreso de los Diputados y concordante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denuncia la vulneración de la prohibición de arbitrariedad (art. 9.3 CE), pues se considera que la modificación operada por los preceptos impugnados está huérfana de las más mínima motivación, sin que pueda encontrarse en la Ley 24/2001 ni deducirse los motivos que han llevado al legislador a operar tal modificación. Ello es más grave y arbitrario —añade el Consejo de Gobierno— cuando se altera el régimen del trasvase de la Ley 10/2001, de 5 de julio, del plan hidrológico nacional, abocando a la finalización a plazo fijo del régimen de compensaciones económicas a la cuenca cedente que debe llevar toda obra permanente de transferencia de recursos hídricos, sin haberse optado por la fórmula de los tres céntimos de euro/metro cúbico que según el Plan hidrológico nacional constituye la “cuota ambiental”. Con esta modificación se da la circunstancia de que la compensación económica a la cuenca cedente no sólo es decreciente en el tiempo, sino llamada a desaparecer en el mismo momento en que se haya amortizado la inversión inicial, padeciendo el art. 45.2 CE en la medida que la disminución de la tarifa de conducción del agua y la supresión del mecanismo de compensación propicia una utilización no racional de los recursos naturales. De esta manera, se produce una disminución tarifaria para los destinatarios del trasvase, con correlativa disminución de los recursos de las Comunidades Autónomas de la cuenca cedente y, además, un aumento de tarifas para los regantes afectados por las filtraciones del túnel del Talave, generándose con ello un tratamiento desigual con respecto a las compensaciones previstas en el plan hidrológico nacional para los cesionistas de aguas y una alteración infundada de régimen de tarifas. En suma, estaríamos ante una actuación arbitraria del legislador, que introduce una patente contradicción con un sistema que presupone la existencia generalizada de compensaciones en las regulaciones de los trasvases, conduciendo a la desaparición a fecha fija de esa compensación en el caso del trasvase Tajo-Segura, lo que implica un trato desigual entre todos los beneficiarios por las compensaciones provenientes de los distintos trasvases.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de alegaciones el representante del Consejo de Gobierno recurrente denunciando la vulneración del principio de solidaridad y equilibrio interterritorial por la nueva regulación, al suprimir los preceptos impugnados las compensaciones que debería recibir la Comunidad Autónoma de Castilla-La Mancha por la imposibilidad del uso de los recursos naturales presentes en la propia Comunidad, e imponer el pago por la restitución de caudales de agua perdidos, no trasvasables. Esto es incompatible, a su juicio, con los arts. 2 y 138.1 CE, por cuanto supone que una fuente de riqueza es asignada en exclusiva a determinados territorios sin que los excluidos de beneficiarse de la misma sean compensados, gravándose incluso la restitución de recursos perdidos.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acordó admitir a trámite el recurso mediante providencia de 7 de mayo de 2002, dando traslado de la demanda y documentos presentados, conforme establece el art. 34 de la Ley Orgánica del Tribunal Constitucional (LOTC), al Congreso de los Diputados y al Senado, por conducto de sus Presidentes, y al Gobierno, por conducto del Ministro de Justicia, para que, en el improrrogable plazo de quince días, pudieran personarse en el procedimiento y formular las alegaciones que estimasen convenientes. Todo ello con publicación en el “Boletín Oficial del Estado” (lo que se cumplimentó en el “BOE”  núm. 121, de 21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21 de mayo de 2002 presentó un escrito en el Registro de este Tribunal el Abogado del Estado, en la representación que ostenta, solicitando se le tuviese por personado y se le concediese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con fecha de 28 de mayo de 2002, se acordó tener por personado y parte al Abogado del Estado, en representación del Gobierno, y prorrogarle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23 de mayo de 2002 la Presidenta del Congreso de los Diputados comunicó a este Tribunal la decisión de la Mesa de la Cámara de no personarse en el procedimiento ni formular alegaciones, con remisión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31 de mayo de 2002, el Letrado de las Cortes Generales-Jefe de la Asesoría Jurídica del Senado, don Benigno Pendás García, en representación de esta Cámara, suplicó se le tuviese por personado en los recursos de inconstitucionalidad núms. 1847-2002, 1902-2002, 1921-2002 y 1937-2002, promovidos todos ellos con relación a la Ley 24/2001, de 27 de diciembre. En el mismo escrito se solicita la acumulación de los recursos en los términos previstos en el art. 83 LOTC y la suspensión del plazo para la presentación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por nuevo escrito presentado en el Registro de este Tribunal el día 13 de junio de 2002, el Letrado de las Cortes Generales-Jefe de la Asesoría Jurídica del Senado, solicitó la acumulación a los anteriores recursos del núm. 1848-2002, al tratarse también de un proceso con un objeto conexo. Igualmente, solicitó se tuviesen por reproducidas las alegaciones formuladas por la Cámara en el recurso 1390-1999, siempre que en los recursos acumulados se haga referencia a la vulneración de preceptos constitucionales y reglamentarios sobre el procedimiento legislativo y competencias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11 de junio de 2002, el Abogado del Estado, en la representación que ostenta, presentó sus alegaciones solicitando se dictase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Parte el Abogado del Estado señalando, en primer lugar, que el art. 89 impugnado se limita, de un lado, a modificar el parámetro con que se calcula uno de los componentes de la tarifa de conducción del acueducto Tajo-Segura al sustituir el parámetro “coste de las obras” por el de “coste total no amortizado” y, de otro, a precisar que los beneficiarios de las aguas concedidas como compensación a las infiltradas en el túnel de Talave participarán exclusivamente en el reparto de la aportación de la tarifa de conducción (gastos fijos de funcionamiento). En segundo lugar, añade que el art. 90 establece el régimen de tarifas para los beneficiarios de la cuenca alta del Guadiana que obtengan agua del acueducto Tajo-Segura.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tras concretar el Abogado del Estado tanto los fundamentos de la inconstitucionalidad esgrimidos por la recurrente, como la finalidad y alcance del acuerdo del Consejo de Ministros de 18 de abril de 1986 sobre el destino de los fondos recaudados por la tarifa de conducción, entra a analizar la denunciada infracción del principio de seguridad jurídica, distinguiendo entre el contenido constitucionalmente definido de las leyes de presupuestos al amparo del art. 134.2 CE, derivado de su especial función y su especial tramitación, y el contenido de las llamadas “leyes de acompañamiento”; contenido de estas últimas, que lejos de ser una burla formal de la doctrina constitucional son precisamente consecuencia del acatamiento —por el Gobierno y las Cortes Generales— de esa doctrina sobre los límites al contenido eventual de las leyes de presupuestos, que se aprueban en el ejercicio de la potestad legislativa ordinaria, a través del trámite ordinario y sin limitaciones constitucionales a su fuerza activa y pasiva. De esta manera, la finalidad de estas leyes de modificar otras para contribuir a alcanzar determinados objetivos de política económica, es totalmente lícita, sin que pueda establecerse ningún límite constitucional a su contenido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subraya el Abogado del Estado a renglón seguido que este Tribunal no es juez de la perfección técnica, sino de la constitucionalidad de las leyes. A su juicio, es patentemente exagerado y carente de toda base afirmar que la mayor conexión interna de un texto facilita su comprensión por el ciudadano y que, por el contrario, la modificación en un mismo texto de diversas leyes, la dificulta. Los arts. 89 y 90 de la Ley 24/2001 identifican perfectamente los cuerpos legales modificados y los preceptos a los que la modificación alcanza, siendo claros en su contenido (certeza) y sin dificultades previsibles en su aplicación (previsibilidad).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el Abogado del Estado después aquellos vicios en la tramitación de la Ley 24/2001 que denuncia el Consejo de Gobierno recurrente para señalar, en primer lugar, que las medidas incorporadas a los arts. 89 y 90 impugnados no están aisladas al haber sido incorporadas en el lugar adecuado de la ley, sin que ningún precepto ni principio constitucional exija que las leyes lleven exposiciones de motivos, y ni mucho menos, de llevarlas, que tengan un determinado grado de detalle. En segundo lugar, que no existe ningún precepto del bloque de la constitucionalidad que obligue a que la Comunidad Autónoma de Castilla-La Mancha deba tener una intervención en el trámite legislativo de la Ley 24/2001. De la Ley 10/2001, de 5 de julio, del plan hidrológico nacional, de la que no se cita ningún precepto por el recurrente —siendo su carga la de identificar el precepto en el que basa su argumento— no es posible derivar ningún derecho de la citada Comunidad Autónoma a intervenir en el procedimiento legislativo o prelegislativo de la Ley 24/2001, atendida la materia regulada por sus arts. 89 y 90. Además, ni las competencias previstas en el art. 31.1.2 del Estatuto de Autonomía de Castilla-La Mancha (sobre ordenación del territorio, urbanismo y vivienda) tienen nada que ver con la tarifa de conducción del agua regulada en la Ley 52/1990, ni el hecho de que la Comunidad Autónoma tenga competencias relacionadas con el contenido de los preceptos impugnados le otorga el derecho a intervenir en el citado procedimiento. En fin, en tercer lugar, que atribuida por la Mesa de la Cámara a la Comisión de Economía, Comercio y Turismo, el conocimiento del proyecto de ley que daría lugar a la Ley 24/2001, de acuerdo con lo dispuesto en los arts. 43 y 54 del Reglamento del Senado, no sólo no consta durante su tramitación protesta o impugnación alguna de las decisiones tomadas en este sentido, sino que si el contenido del proyecto de ley se hubiese dividido o desarticulado para encomendárselo a todas y cada de las Comisiones, su tramitación habría resultado imposible.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respecto de la supuesta arbitrariedad del legislador, para el Abogado del Estado ninguna de las alegaciones del Letrado autonómico ofrecen la más mínima base para tachar de arbitraria la decisión del legislador nacional. A su juicio, aunque no puede exigirse a las leyes la misma motivación que se predica de otros actos de los poderes públicos (sentencias o actos administrativos), la memoria justificativa que acompañó al proyecto de ley demuestra el fundamento razonable de la modificación acometida. Pues bien, subrayando el Abogado del Estado que la impugnación queda reducida a que las modificaciones introducidas en el componente a) de la tarifa de conducción (que cambia el “coste de las obras” por el “coste total no amortizado de las obras”) hacen decrecer de forma evidente su importe y, por tanto, las cantidades que percibe la Junta de Comunidades de los rendimientos de la tarifa, sin embargo, considera que es a las Cortes Generales a quien toca ponderar los intereses de las diversas Comunidades Autónomas que ceden o se beneficien de una obra pública de interés general como es el acueducto Tajo-Segura. De esta manera, a la hora de fijar el componente a) de la tarifa de conducción, los intereses financieros de la Junta de Comunidades de Castilla-La Mancha (levemente afectados) no tienen por qué ser los supremos en la compleja ponderación que debe efectuar el legislador nacional, pudiendo serlo los intereses de los usuarios y del empleo del agua en las cuencas cesionarias o receptoras o la contención de precios, ambos fundamentos invocados por la memoria. Pero es que, además, añade, la modificación operada tiene un fundamento de justicia, al dar base legal a la jurisprudencia del Tribunal Supremo en la materia (concretamente, a las Sentencias del Tribunal Supremo de 13 de febrero y 9 de julio, ambas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la supuesta infracción del principio de solidaridad y del equilibrio económico interterritorial, al eliminarse las compensaciones que recibe la Comunidad de Castilla-La Mancha e imponerse el pago por la restitución de caudales de agua perdidos no trasvasables, señala el Abogado del Estado que el hecho de que una medida del legislador cause una disminución —exigua— de ingresos a una Comunidad Autónoma no puede calificarse de infractora de los principios citados. Desde el punto de vista contrario, las Comunidades Autónomas receptoras del agua pueden justificar el sacrificio que hace la de Castilla-La Mancha en nombre de la solidaridad y de la justicia y adecuación del equilibrio interterritorial, pues la solidaridad entre Comunidades Autónomas puede entrañar sacrificios de unas en favor de otras, tanto más cuanto se trata del agua, un bien de dominio público nacional con relación al cual corresponde al Estado valorar las exigencias de solidaridad y equilibrio. La Comunidad Autónoma recurrente, sin embargo, ni concreta la disminución económica de los ingresos que le causa la medida, ni detalla porqué el sacrificio que hace resulta insolidario o generador de un desequilibrio económico interterritorial, ni, en fin, demuestra que el sacrificio soportado no está justificado por los mayores beneficios que la medida tiene en otros territorios. Y, en fin, tampoco la compensación a los beneficiarios por las aguas infiltradas en el túnel de Talave, que pagan por un solo elemento de la tarifa de conducción (los gastos fijos y no por los gastos de funcionamiento o los variables), puede considerarse injusta o carente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del Tribunal con fecha de 18 de junio de 2002 se tuvo por personado al Letrado de las Cortes Generales-Jefe de la Asesoría Jurídica del Senado, don Benigno Pendás García, en representación de la Cámara, accediéndose a la suspensión del plazo concedido para hacer alegaciones en tanto se resolviese sobre la acumulación instada, oyéndose a la recurrente y a las partes personadas para que, en el plazo de diez días, formulasen las alegaciones que estimasen pertinentes sobre la acumulación solicitada. Formuladas las correspondientes alegaciones, por ATC 205/2002, de 15 de octubre, se acordó no acceder a la acumulación solicitada, al no haber conexión de objetos, otorgando un plazo de quince días a la representación del Senado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8 de noviembre de 2002, el Letrado de las Cortes Generales-Jefe de la Asesoría Jurídica del Senado, en representación de esta Cámara, formuló alegaciones solicitando la desestimación del recurso en todos sus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que en el marco de una impugnación por defectuosa técnica de una ley ordinaria debe tenerse en cuenta la tesis de la “deferencia judicial”, dominante en la interpretación judicial norteamericana (ejercicio del self-restraint), y tras recordar la concepción de la ley como voluntad general, subraya el Letrado del Senado que las objeciones que se formulan en el recurso nada tienen que ver con contenidos especialmente protegidos ni con el derecho al procedimiento, ni tampoco con los específicos mandatos del art. 9 CE. En efecto, a su juicio, la presunción de constitucionalidad de la ley, consecuencia del principio mayoritario, no puede sustituirse por la presunción de inconstitucionalidad basada en la teoría de la neocodificación. El principio de seguridad jurídica invocado por la recurrente no es sino, en el análisis que de él ha hecho el Tribunal Constitucional, una síntesis de los demás principios reconocidos en el citado precepto, a saber, la suma de certeza y legalidad, jerarquía y publicidad normativa, irretroactividad de lo no favorable e interdicción de la arbitrariedad (STC 27/1981). De esta manera, cuando una norma constituye un mandato cierto, publicado y preciso, no puede considerarse como generadora de incertidumbre o inseguridad en su contenido (STC 99/1987).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Senado la cuestión de la técnica legislativa no tiene conexión con la posible invalidez constitucional de la norma, pues el constituyente, al reconocer la existencia de leyes específicas, no ha creado la necesidad de que cada ley ordinaria tenga un presupuesto de hecho habilitante para el ejercicio de la potestad legislativa ni ha incluido la cláusula de no ejercicio de la potestad legislativa a través de una ley de contenido inespecífico, heterogéneo o indeterminado que se apruebe una vez al año. Ni siquiera ha prohibido siquiera una ley universal, que afecte a la calidad de las leyes del ordenamiento jurídico vigente. El calificar una ley como cómodo cajón de sastre o el adornarla con calificativos académicos despectivos nada tiene que ver con la singular tesis de la habilitación caso por caso de la potestad legislativa, que convierte al intérprete de la Constitución y al que impetra su juicio en auténtico constituyente. Existen y existirán leyes que tienen contenidos fragmentarios o que incluyen materias sin conexión cierta con el objeto principal que el título de la ley enuncia. Como toda claridad ha señalado la STC 57/1989, “la regulación de una determinada materia puede depender de la propia oportunidad parlamentaria o de la conveniencia legislativa del momento que haga aconsejable forme parte de uno u otro texto legal”. De este modo, el legislador no está sometido a un modelo canónico de ordenación de contenidos, a una especie de mecano de piezas para armar conforme a un manual de instrucciones, siendo la ley de contenido complejo o ley ómnibus una manifestación primordial del creciente margen de intervención de los Parlamentos en aspectos de la realidad social sometidos a una dinámica que en nada se parece a la realidad del siglo pasado. No tiene sentido identificar hoy en día la seguridad jurídica con una obsesión porque la norma incida sobre una única materia o sector, o sobre un único apartado académico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alegación de la Junta de Comunidades de la vulneración del principio de interdicción de la arbitrariedad de los poderes públicos por no contener la modificación operada una compensación suficiente para contrarrestar el efecto que produce la existencia del trasvase, a juicio del representante del Senado no puede aceptarse desde el momento en que el propio recurso considera razonable el nuevo método de cálculo del canon, aceptando implícitamente que es razonable y ponderado a los costes iniciales históricos de la obra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subraya el representante del Senado que al no haberse invocado ninguna vulneración competencial, salvo en términos inespecíficos e indirectos, parece claro que se admite que las normas que regulan determinados aspectos del trasvase Tajo-Segura no son impugnables por razón de la competencia. Además, el Estado está ejerciendo unas competencias exclusivas, como son los aprovechamientos hidráulicos de aguas que discurren por más de una Comunidad Autónoma (art. 149.1.22 CE) y las obras públicas de interés general o cuya realización afecte a más de una Comunidad Autónoma (art. 149.1.24 CE) que no es del interés exclusivo de una Comunidad Autónoma por lo que, por definición, no puede afectar a la solidaridad y equilibrio interterritorial, al operar en el ámbito del interés general. La STC 227/1988 es clara y no admite duda alguna sobre la competencia exclusiva del Estado para legislar en materia de ordenación de los recursos hidráulicos.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mayo de 2012 se señaló para deliberación y votación de la presente Sentencia dicho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 los arts. 89 y 90 de la Ley 24/2001, de 27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89 de la Ley 24/2001, de 27 de diciembre, objeto del presente proceso constitucional, modifica la Ley 52/1980, de 16 de octubre, de regulación del régimen económico de la explotación del acueducto Tajo-Segura, y, concretamente, sustituye en la forma de cálculo de la tarifa de conducción de las aguas excedentarias trasvasadas desde la cuenca del Tajo a la del Segura, la aportación consistente en el “coste de las obras” por el de “amortización del coste de las obras” [art. 7.1 a)]; sustituye igualmente para el cálculo de la tarifa el valor del “coste total de las obras” por el de “coste total no amortizado de las obras” [art. 7.2 a)]; sustituye en la actualización bianual de la tarifa la referencia al “coste de las obras” por la de “a la amortización del coste de las obras” (art. 14); y, en fin, añade una precisión a la utilización de la infraestructura del acueducto Tajo-Segura para el aprovechamiento, dentro de la provincia de Albacete, de los recursos subterráneos existentes, de manera que los beneficiarios de “las aguas concedidas como compensación a las infiltradas en el túnel del Talave … participarán exclusivamente en el reparto de los gastos fijos de funcionamiento” (disposición adicional sexta, segundo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90 de la Ley 24/2001, de 27 de diciembre, modifica el art. 5 del Real Decreto-ley 8/1995, de 4 de agosto, por el que se adoptan medidas urgentes de mejora del aprovechamiento del trasvase Tajo-Segura, para incorporar un nuevo apartado 3 referente a la forma de cálculo de la tarifa a abonar por los beneficiarios de las aguas derivadas a la cuenca alta del Guadiana, a través del acueducto, por el uso del tramo que utilicen de esa infraestructura.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el Consejo de Gobierno de la Junta de Comunidades de Castilla-La Mancha que los preceptos impugnados son contrarios al art. 9.3 CE, por ir incluidos en una ley de “acompañamiento” o ley “ómnibus”, esto es, en una ley sin objeto predeterminado, cuya publicación formal no implica que las normas que contiene sean conocidas por sus destinatarios sin necesidad de una diligencia extraordinaria. Antes al contrario, la acumulación de preceptos inconexos hace imposible a los ciudadanos, a su juicio, el conocimiento de los preceptos que se encuentran obligados a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ha sido recientemente resuelta por este Tribunal, en el sentido de rechazar el citado planteamiento, no sólo porque la publicación de una disposición en el “Boletín Oficial del Estado” (como ha sucedido en el presente caso, concretamente, en el “BOE” núm. 313, de 31 de diciembre de 2001), “basta para el conocimiento formal de las disposiciones que la norma publicada incorpora”, sino también porque, desde la estricta perspectiva constitucional que nos ocupa, no es posible imputar a la norma impugnada una quiebra del principio de seguridad jurídica previsto en el art. 9.3 CE por tratarse de una ley de contenido indefinido, sin objeto predeterminado, “pues la norma tiene un objeto que, aunque heterogéneo, está perfectamente delimitado en el momento de presentación del proyecto al Congreso de los Diputados, teniendo todos sus eventuales destinatarios (operadores jurídicos y ciudadanos) conocimiento del mismo mediante su publicación en el ‘Diario Oficial de las Cortes Generales’, como finalmente tienen conocimiento del texto definitivo mediante su inserción en el ‘Boletín Oficial del Estado’” [STC 136/2011, de 13 de septiembre, FJ 9; y también STC 176/2011, de 8 de noviembre,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hemos tenido ya ocasión de afirmar, no es suficiente para considerar inconstitucional la Ley 24/2001 “el que se haya recurrido al expediente de utilizar un solo vehículo que ampare preceptos en muchas materias y sectores, por muy desaconsejable que tal práctica parezca técnicamente. Al hacerlo el legislador ha optado por la tramitación y aprobación simultánea de un conjunto de normas jurídicas cada una de ellas con su propia virtualidad y fuerza innovadora del ordenamiento jurídico, lo que en sí mismo no vulnera el art. 9.3 CE”. Y es que dicha forma de proceder podrá ser, en su caso, “expresión de una mala técnica legislativa, mas de dicha circunstancia no cabe inferir de modo necesario una infracción del mencionado principio constitucional”, dado que, como señalan el Abogado del Estado y el Letrado del Senado, “el juicio de constitucionalidad no lo es de técnica legislativa”, razón por la cual, no “corresponde a la jurisdicción constitucional pronunciarse sobre la perfección técnica de las leyes”, habida cuenta de que “el control jurisdiccional de la ley nada tiene que ver con su depuración técnica” (STC 136/2001, de 13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analizado, los dos preceptos impugnados son claros, sin que ofrezcan especiales dificultades de comprensión y entendimiento que puedan inducir a sus eventuales destinatarios a error o confusión. Y de existir, como se sostiene, era labor del Consejo de Gobierno recurrente la de explicitar las razones por las que se considera que la duda sembrada entre sus potenciales destinatarios es insuperable y, por tanto, merecedora de una declaración de inconstitucionalidad. No habiéndolo hecho así, debe rechazarse la denunciada vulneración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Señala también el Consejo de Gobierno de la Junta de Comunidades de Castilla-La Mancha que los preceptos impugnados son igualmente contrarios al art. 9.3 CE, pero esta vez por razones que afectan al procedimiento parlamentario de tramitación de la Ley 24/2001. Pues bien, antes de entrar a dar una respuesta singularizada a cada una de las cuestiones planteadas debe señalarse que “la inobservancia de los preceptos que regulan el procedimiento legislativo podría viciar de inconstitucionalidad la ley cuando esa inobservancia altere de modo sustancial el proceso de formación de voluntad en el seno de las Cámaras”. No basta, en consecuencia, “cualquier vicio o inobservancia de los previstos en las normas que regulan el procedimiento parlamentario para declarar la eventual inconstitucionalidad de la norma o disposición con que se pone fin al mismo”, pues “tal inconstitucionalidad sólo se producirá si el vicio o inobservancia denunciada afecta esencialmente al proceso de formación de la voluntad de los parlamentarios, de modo que sólo los vicios o defectos más graves provocan un déficit democrático en el proceso de elaboración de una norma que podría conducir a su declaración de inconstitucionalidad” (STC 136/2011, de 13 de septiembre,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denuncia hace referencia al hecho de no haberse dado intervención a la Comunidad Autónoma durante la tramitación parlamentaria del proyecto de ley, intervención que, a su juicio, es exigible a tenor de lo dispuesto en la Ley del plan hidrológico nacional, al tratarse de una decisión que afecta al ámbito de competencias autonómico, concretamente, a las recogidas en el art. 31.1.2 del Estatuto de Autonomía. Como puede comprobarse, el Consejo de Gobierno recurrente denuncia la omisión de un trámite que considera obligatorio y a cuyo incumplimiento anuda la inconstitucionalidad de la norma y, sin embargo, como señala el Abogado del Estado, no concreta el precepto en el que basa esa pretensión. Pues bien, hemos de comenzar recordando que, cuando lo que está en juego es la depuración del ordenamiento jurídico, es carga del recurrente la de ofrecer la fundamentación que razonablemente es de esperar, de manera que en los casos en que ésta no se atiende se incurre en una falta de diligencia procesalmente exigible (por todas, SSTC 16/2003, de 30 de enero, FJ 9; 245/2004, de 16 de diciembre, FJ 3; y 112/2006, de 5 de abril, FJ 19), como sucede en el presente supuesto en el que el Consejo de Gobierno de la Junta de Comunidades de Castilla-La Mancha se limita a invocar el incumplimiento de un pretendido trámite de audiencia previa sin especificar la norma concreta que le confiere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debe añadirse a renglón seguido que, de un lado y como señala el Abogado del Estado, de la Ley 10/2001, de 5 de julio, del plan hidrológico nacional, no es posible deducir el derecho de la Comunidad Autónoma a intervenir preceptivamente con carácter previo o durante la tramitación de la ley objeto del presente proceso constitucional, aunque algunos de sus preceptos (concretamente, los arts. 89 y 90 impugnados) afecten a la forma de cálculo de la tarifa de conducción de las aguas excedentarias trasvasadas dese la cuenca del Tajo a la del Segura. De otro lado, tampoco del art. 31.1.2 de la Ley Orgánica 9/1982, de 10 de agosto, de Estatuto de Autonomía de Castilla-La Mancha (en la redacción vigente al momento de dictarse la norma impugnada), que atribuye a la Junta de Comunidades de Castilla-La Mancha la competencia exclusiva en materia “ordenación del territorio, urbanismo y vivienda”, es posible colegir la pretendida audiencia preceptiva como un trámite sustancial del procedimiento parlamentario de aprobación de la Ley de medidas fiscales, administrativas y del orden social. Debe rechazarse, en consecuencia, el vicio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Añade también el Consejo de Gobierno recurrente otro vicio en el procedimiento parlamentario, esta vez referido al hecho de que el proyecto de ley se tramitó en la Comisión de Economía y Hacienda del Congreso, y en la de Economía, Comercio y Turismo del Senado, y no en la competente por razón de cada materia, en contra de lo señalado en el art. 43 del Reglamento del Congreso de los Diputados y concordante del Senado. A este respecto debe señalarse, en primer lugar, que estamos en presencia de un acto de trámite (la atribución a una comisión del conocimiento de un proyecto de ley) inserto en un procedimiento parlamentario cuya eventual inobservancia sólo podría alcanzar relevancia constitucional y, por tanto, viciar de inconstitucionalidad la ley resultante cuando, como hemos señalado anteriormente y debemos reiterar ahora, esa inobservancia altere de modo sustancial el proceso de formación de voluntad de una Cámara, extremo éste que no sólo no se deduce de la pretendida irregularidad denunciada, sino que ni siquiera se alega. Antes al contrario, el Consejo de Gobierno recurrente se limita a poner de manifiesto de forma genérica la pretendida irregularidad de una eventual incompetencia de la comisión que ha conocido del proyecto, pero lo hace sin concretar las razones por las que considera que era incompetente por tener la competencia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en segundo lugar, la decisión de atribuir el conocimiento de un proyecto a una u otra comisión es una función de la Mesa del Congreso de los Diputados (arts. 43.1 y 109 del Reglamento del Congreso de los Diputados) o del Senado (arts. 54 y 104.2 del Reglamento del Senado), de manera que, cuando por razón de la materia un proyecto, proposición o asunto pueda corresponder, en principio, a varias comisiones, se encomendará a aquella “que sea de la competencia principal de una comisión” (así se deduce del art. 43.2 del Reglamento del Congreso de los Diputados). Se trata, pues, de una decisión de mera oportunidad parlamentaria que, en sí misma, no conlleva merma alguna de los principios constitucionales que han de informar el procedimiento legislativo en cuanto procedimiento de formación de la voluntad del órgano. Debe rechazarse, por tanto, esta otra irregularidad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siguiente vicio que imputa el Consejo de Gobierno de la Junta de Comunidades recurrente a los preceptos impugnados es la vulneración de la prohibición de arbitrariedad (art. 9.3 CE), no sólo por considerar que están huérfanos de motivación sino por provocar una disminución de los recursos a recibir por la Comunidad de Castilla-La Mancha por el agua cedida, generando un trato desigual entre todos los beneficiarios por las compensaciones provenientes de los distintos trasvases.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insistirse una vez más en que el control de la constitucionalidad de las leyes debe ejercerse por este Tribunal de forma que no se impongan constricciones indebidas al poder legislativo y se respeten sus legítimas opciones políticas. Por lo demás, como venimos señalando desde muy antiguo, el cuidado que este Tribunal ha de observar para mantenerse dentro de los límites del control del legislador democrático debe extremarse cuando se trata de aplicar preceptos generales e indeterminados, como es el de la interdicción de la arbitrariedad. Así, al examinar una norma legal desde este punto de vista, nuestro análisis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[entre las últimas, STC 136/2011, de 13 de septiembre, FJ 12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hemos de afirmar, ante todo, que no se aprecia que los preceptos cuestionados establezcan discriminación de ningún tipo, aun cuando el Consejo de Gobierno recurrente así lo defienda, su alegación no deja de ser una mera imputación genérica pues ni identifica dónde está el trato desigual, ni especifica cuáles son esos otros beneficiarios que estarían recibiendo un mejor trato, ni, en fin, cuantifica las diferentes compensaciones que estarían recibiendo unos y otros, y que generarían la diferencia de trato que se considera inconstitucional. No habiendo cumplido la parte recurrente con su deber de ofrecer la fundamentación que razonablemente es de esperar para poder analizar la violación denunciada, no cabe sino rechazar la pretendida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 lo anterior hay que añadir que las normas impugnadas tampoco carecen de toda explicación racional pues, como señala el Abogado del Estado y consta en la memoria justificativa que acompañaba a la propuesta del Ministerio de Medio Ambiente de incorporar ambos preceptos en el anteproyecto de Ley de medidas, respondían a “los usos sobrevenidos”, a la necesidad de corregir “las dificultades encontradas en la aplicación de estas normas” (los arts. 7 y 14, y las disposiciones adicionales 1 y 6 de la Ley 52/1980, de 16 de octubre, de regulación del régimen económico de la explotación del acueducto Tajo-Segura, y el art. 5 del Real Decreto-ley 84/1995, de 4 de agosto, por el que se adoptan medidas urgentes de mejora del aprovechamiento del trasvase Tajo-Segura), y a “la interpretación que de las mismas se ha hecho en las sucesivas sentencias del Tribunal Supremo”. Esto hacía aconsejable “la introducción de algunas modificaciones” en la redacción de una y otra norma legal, a los efectos no sólo de “recoger explícitamente la amortización del coste de las obras, según la interpretación efectuada por el Tribunal Supremo en la Sentencia de 13 de febrero de 1999”, sino también de “hacer posible la aplicación de tarifas a las derivaciones a los abastecimientos del Alto Guadiana y a las Tablas de Daimiel, así como a los usos del acueducto para aprovechamiento de las aguas afloradas por el túnel de Talave”, y de fijar una contribución para los beneficiarios del aprovechamiento de los recursos subterráneos de la provincia de Albacete que se sirvan de la infraestructura del acueducto, no por los conceptos de aportación al coste de las obras o de gastos variables de funcionamiento, por tratarse de volúmenes de agua que reponen a los aflorados por el túnel del Talave, pero sí, por razones de justicia, por los gastos fijos de funcionamiento en los tramos del acueducto utilizados para dicha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puede tacharse de arbitraria una norma que persigue una finalidad razonable y que no se muestra desprovista de todo fundamento, aunque pueda legítimamente discreparse de la concreta solución adoptada, pues “entrar en un enjuiciamiento de cuál sería su medida justa supone discutir una opción tomada por el legislador que, aun cuando pueda ser discutible, no resulta arbitraria ni irracional” (por todas, STC 149/2006, de 11 de mayo, FJ 6; y en un sentido parecido, STC 128/2009, de 1 de junio, FJ 3), tanto más cuando el reparo que se le opone no deja de ser otra cosa que una objeción de oportunidad, sin relevancia, por tanto, desde el punto de vista constitucional. Debe rechazarse también esta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Denuncia el Consejo de Gobierno de la Junta de Comunidades de Castilla-La Mancha en último lugar, por razones similares al motivo anterior, la vulneración del principio de solidaridad y equilibrio interterritorial (arts. 2 y 138.1, ambos de la Constitución Española), al reducir los preceptos impugnados las compensaciones que debería recibir la Comunidad Autónoma por la imposibilidad del uso de los recursos naturales presentes en su territorio, a la vez que impone el pago por la restitución de caudales de agua perdidos, no trasvasables.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 recordarse, siquiera brevemente, que el “agua” es un “recurso esencial”, de carácter “unitario e integrante de un mismo ciclo (hidrológico)”, de manera que “corresponde al legislador estatal en exclusiva la potestad para excluir genéricamente del tráfico jurídico privado las aguas continentales, consideradas como un género de bienes naturales o un recurso natural unitario, y para integrarlas en el dominio público del Estado” (STC 227/1988, de 29 de noviembre, FJ 14), siendo responsabilidad del Estado no sólo la de definir legislativamente el dominio público estatal, sino también la de establecer, por mandato constitucional, su régimen jurídico (SSTC 46/2007, de 1 de marzo, FJ 12; y 149/2011, de 28 de septiembre, FJ 7). Y ello porque debe entenderse incluida tanto “en el concepto material de legislación civil, a que se refiere el art. 149.1.8 de la Constitución, como porque atañe a las condiciones básicas o posiciones jurídicas fundamentales de todos los españoles en el ejercicio de los derechos constitucionales, respecto de los que el Estado debe garantizar la igualdad sustancial, mediante su propia regulación, de acuerdo con el art. 149.1.1 de la Constitución” [STC 247/2007, de 12 de diciembre, FJ 21 d)]. Ello sin perjuicio, claro está, “de las competencias atribuidas a las Comunidades Autónomas sobre la gestión y aprovechamiento de los recursos hidráulicos, en virtud de la Constitución y de sus respectivos Estatutos de Autonomía” [STC 247/2007, de 12 de diciembre, FJ 21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el art. 132.2 CE “no es en sí mismo una norma de distribución de competencias”, sí establece “una reserva de ley”, “de ley del Estado”, para completar la enumeración de los bienes del dominio público estatal (STC 227/1988, de 29 de noviembre, FJ 14). De esta manera, aunque “la titularidad estatal del dominio público y la competencia para determinar las categorías de bienes que lo integran no son, en sí mismos, criterios de delimitación competencial por lo que, en consecuencia, la naturaleza demanial de un bien no lo aísla de su entorno ni lo sustrae de las competencias que correspondan a otros entes públicos que no ostentan esa titularidad” [SSTC 149/1991, de 4 de julio, FJ 1 c); 9/2001, de 18 de enero, FJ 16; 46/2007, de 1 de marzo, FJ 12; y 247/2007, de 12 de diciembre, FJ 21], sin embargo, la redistribución de los sobrantes de aguas de cuencas excedentarias es una materia cuya regulación corresponde en exclusiva a la legislación estatal, de manera que su libertad de configuración no puede quedar constreñida siquiera por las normas estatutarias (STC 247/2007, de 12 de diciembre,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junto con la anterior reserva legal en materia demanial, el art. 149.1.22 CE atribuye al Estado la competencia en materia de legislación, ordenación y concesión de recursos y aprovechamientos hidráulicos en las cuencas intercomunitarias, asumiéndose así que las aguas de una misma cuenca, también las subterráneas que convergen en la red de cauces de una cuenca hidrográfica [SSTC 227/1988, de 29 de noviembre, FJ 16; 30/2011, de 16 de marzo, FJ 5 f); y 32/2011, de 17 de marzo, FJ 5 f)], forman un conjunto integrado que deber ser gestionado de forma homogénea, de manera que “el criterio de la cuenca hidrográfica como unidad de gestión permite una administración equilibrada de los recursos hidráulicos que la integran, en atención al conjunto de intereses afectados” [SSTC 227/1988, de 29 de noviembre, FJ 15; 30/2011, de 16 de marzo, FJ 6; y 32/2011, de 17 de marzo, FJ 6]. De este modo, el derecho al abastecimiento de agua, desde la perspectiva del Estado social de Derecho consagrado en nuestra Constitución (art. 1 CE) permite “que se atiendan dichas necesidades, en aras del valor de la justicia” [STC 247/2007, de 12 de diciembre, FJ 20 a)], razón por la cual no puede considerarse el uso del agua por las cuencas cesionarias como un “privilegio económico o social” [STC 247/2007, de 12 de diciembre, FJ 20 c)], ni, por tanto, como una discriminación para las cuencas cedentes, siempre y cuando el ejercicio de aquel derecho se haga mediante “criterios de sostenibilidad”, esto es, mediante una “utilización racional”, lo que “se acomoda a los criterios propios del principio de solidaridad” [SSTC 247/2007, de 12 de diciembre, FJ 20 c); y 249/2007, de 13 de diciembre,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puede concluir que al legislador estatal le corresponde la determinación de los bienes que, aparte de los citados en el art. 132.2 CE, forman parte del dominio público, y puesto que ha incluido entre tales el agua, como recurso esencial, es de su responsabilidad, por mandato constitucional, la de concretar su régimen jurídico y, dentro del mismo, su régimen económico. Si a esto unimos que los principios de igualdad material y solidaridad que sancionan los arts. 2, 9.2, 40, 138.1 y 2, y 139, todos ellos de la Constitución “vinculan a todos los poderes públicos, en el ejercicio de sus respectivas competencias, y no sólo al Estado” (SSTC 150/1990, de 4 de octubre, FJ 11; y 13/2007, de 18 de enero, FJ 7), y que al Estado le corresponde garantizar, de conformidad con el art. 138 CE, “la realización efectiva del principio de solidaridad consagrado en el art. 2 de la Constitución, velando por el establecimiento de un equilibrio económico, adecuado y justo entre las diversas partes del territorio español” (por todas, STC 13/2007, de 18 de enero, FJ 7), no cabe duda alguna de que es al Estado, en la determinación del régimen económico del agua y, concretamente, en la regulación de las tarifas por la explotación del acueducto Tajo-Segura, a quien corresponde ponderar los intereses en conflicto (los de las cuencas cedentes y cesionarias), para, atendido el principio de solidaridad interterritorial y de equilibrio económico entre las diversas partes del territorio español, fijar el contenido y alcance, subjetiva y objetivamente, de tales tarifas.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el Consejo de Gobierno recurrente considera insolidaria la disminución de la tarifa de conducción del agua para los destinatarios del trasvase y, por tanto, la disminución de los recursos que debe percibir. Sin embargo, debe señalarse que esa reducción de la tarifa no puede calificarse en modo alguno de insolidaria al ser fruto de las Sentencias del Tribunal Supremo de 13 de febrero (recurso núm. 735-1995) y 9 de julio de 1999 (recurso núm. 604-1997), por las que se declaran no ajustadas a Derecho las tarifas por conducción de agua por el acueducto Tajo-Segura aprobadas por los Acuerdos del Consejo de Ministros de 4 de agosto de 1995 y 6 de junio de 1997, respectivamente, tanto en lo referente a la determinación del componente consistente en el coste de las obras (y la exclusión de las amortizaciones) como el del coste de funcionamiento (gastos fijos y gastos variables).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preciso recordar que las tasas, como prestación patrimonial de carácter público de naturaleza tributaria, están sometidas al principio de reserva de ley (art. 31.3 CE), que alcanza no sólo a su creación sino también a la determinación de sus elementos esenciales o configuradores (por todas, SSTC 57/2010, de 4 de octubre, FJ 4; 73/2011, de 19 de mayo, FJ 3; y 184/2011, de 23 de noviembre, FJ 6), entre los cuales se encuentra, su cuantía (SSTC 221/1992, de 11 de diciembre, FJ 7; 185/1995, de 5 de diciembre, FJ 6; 233/1999, de 16 de diciembre, FJ 9; 106/2000, de 4 de mayo, FJ 3; 63/2003, de 27 de marzo, FJ 6; 150/2003, de 15 de julio, FJ 3; 102/2005, de 20 de abril, FJ 7; y 121/2005, de 10 de mayo, FJ 8). Dejando ahora a un lado el hecho de que la intensidad con la que opera aquella reserva de ley es diferente en cada tributo y en cada uno de los elementos esenciales del mismo (SSTC 37/1981, de 16 de noviembre, FJ 4; 233/1999, de 16 de diciembre, FJ 9; 63/2003, de 27 de marzo, FJ 4; 150/2003, de 15 de julio, FJ 3; 102/2005, de 20 de abril, FJ 3; 121/2005, de 10 de mayo, FJ 5; y 73/2011, de 19 de mayo, FJ 3), este Tribunal ha apreciado como una de las características de las tasas la de ser la “contraprestación proporcional, más o menos aproximada, del coste de un servicio o realización de actividades en régimen de Derecho público” (SSTC 296/1994, de 10 de noviembre, FJ 4; 16/2003, de 30 de enero, FJ 3; y ATC 71/2008, de 26 de febrero, FJ 5), o, debemos añadir ahora, la contraprestación por la utilidad derivada de la utilización privativa o el aprovechamiento especial del dominio público. En consecuencia, es consustancial a la naturaleza retributiva de las tasas su cuantía que, como elemento esencial, debe estar presidido por el principio de equivalencia, debiendo atender al importe del coste provocado o de la utilidad obtenida “con los que tiene una relación, más o menos intensa, de contraprestación” (SSTC 296/1994, de 10 de noviembre, FJ 4; 16/2003, de 30 de enero, FJ 3; y 20/2012, de 16 de febrero, FJ 11; y ATC 407/2007, de 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dejar a un lado, como señala el Abogado del Estado, que el Consejo de Gobierno recurrente no ha concretado la disminución económica de los ingresos que le causa la medida, ni ha detallado el por qué el sacrificio que hace resulta insolidario o generador de un desequilibrio económico, en fin, ni ha demostrado que el sacrificio soportado no está justificado por los mayores beneficios que la medida tiene en otros territorios, lo cierto es que el legislador estatal se ha limitado a ajustar la forma de cálculo de la tasa por tarifa de conducción de las aguas excedentarias trasvasadas desde la cuenca del Tajo a la del Segura, a la contraprestación del coste del servicio o del valor de la utilidad obtenida, para adecuarla a las exigencias constitucionales. Por esta razón, debe concluirse que no puede considerarse como un privilegio económico ni, por tanto, como una actuación dañina de la solidaridad o del equilibrio económico territorial que debe presidir la actuación de los poderes públicos. Debe rechazarse, por tanto, el último vicio denunciado por el Consejo de Gobierno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