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8136-2009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8136-2009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8136-2009.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septiembre de 2009, el Procurador de los Tribunales don José Javier Cuevas Rivas, en nombre y representación de don Juan María Gabirondo Agote, y bajo la dirección de la Letrada doña Ainhoa Baglietto Gabilondo, interpuso recurso de amparo contra el Auto de la Sección Segunda de la Sala de lo Penal de la Audiencia Nacional de 17 de julio de 2009, dictado en la ejecutoria núm. 67-1990, por el que se desestima el recurso de súplica interpuesto contra el Auto de 24 de abril de 2009, en la que se aprueba fecha para licenciamiento definitivo.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A esos efectos, se expone que en dichas resoluciones, al haberse aplicado la doctrina establecida en la Sentencia de la Sala Segunda del Tribunal Supremo núm. 197/2006, de 28 de febrero, se ha retrasado el licenciamiento definitivo en varios años, por lo que su ejecución ocasionaría un perjuicio al recurrente que haría al amparo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26 de marzo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en este Tribunal el 26 de abril de 2012, presentó alegaciones en las que, enunciando la jurisprudencia de este Tribunal sobre el particular, interesó que se denegara la suspensión solicitada, argumentando, por un lado, la gravedad de las penas impuestas cuya fecha de cumplimiento es el objeto del recurso de amparo y la lejanía del tiempo de cumplimiento definitivo fijado en las resoluciones impugnadas y, por otro, la circunstancia de que la suspensión determinaría la puesta en libertad del recurrente lo que supondría, al menos parcialmente, un otorgamiento anticipado.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en este Tribunal el 16 de abril de 2012, presentó alegaciones insistiendo en la necesidad de la suspensión de las resoluciones impugnadas por los graves perjuicios que supone el mantenimiento en prisión, toda vez que se ha acordado nueva fecha de licenciamiento definitivo para el 28 de abril de 2016, en vez de la anteriormente fijada de 23 de julio de 2008.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56.1 de la Ley Orgánica del Tribunal Constitucional dispone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que no se produzca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por las que se aprueba la fecha de licenciamiento definitivo en aplicación de la doctrina establecida en la Sentencia de la Sala Segunda del Tribunal Supremo núm. 197/2006, de 28 de febrero, no resulta procedente la puesta cautelar en libertad del recurrente por implicar una perturbación grave de los intereses generales, y, en concreto, del legítimo interés público en el cumplimiento de las penas, en atención a la gravedad de las penas que se están ejecutando. A ello se añade la circunstancia de que la puesta en libertad del recurrente supondría, al menos parcialmente, un otorgamiento anticipado del amparo que se solicita, lo que desnaturalizaría la naturaleza cautelar de la medida (por todos, ATC 206/2010,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y tal como señala el Ministerio Fiscal, la solicitud de la suspensión debe ser rechazada, ya que se trata del cumplimiento de penas graves cuyo límite se ha establecido en treinta años y su concesión supondría la puesta en libertad del recurrente y, con ello, un parcial otorgamiento anticipado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8136-2009.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