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89</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don Manuel Aragón Reyes, don Pablo Pérez Tremps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4017-2009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4017-2009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4017-2009.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29 de abril de 2009, el Procurador de los Tribunales don Javier Cuevas Rivas, en nombre y representación de don Ignacio Pujana Alberdi, y bajo la dirección del Letrado don Iker Urbina Fernández, interpuso recurso de amparo contra el Auto de la Sección Tercera de la Sala de lo Penal de la Audiencia Nacional de 17 de marzo de 2009, dictado en la ejecutoria núm. 32-1993, por el que se desestima el recurso de súplica interpuesto contra la providencia de 16 de febrero de 2009 por la que se acuerda fijar como fecha de licenciamiento definitivo del recurrente el día 28 de junio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ejecución de las resoluciones judiciales impugnadas. A esos efectos se expone que si se aplica la jurisprudencia anterior a la doctrina establecida en la Sentencia de la Sala de lo Penal del Tribunal Supremo núm. 197/2006, de 28 de febrero, el licenciamiento definitivo del recurrente habría tenido lugar el día 23 de febrero de 2009, conforme propuso el centro penitenciario en el que cumple condena, por lo que las resoluciones impugnadas, al rechazar la propuesta del centro y fijar el día 28 de junio de 2021 como fecha de licenciamiento definitivo, conforme a la doctrina de la citada Sentencia, han retrasado su puesta en libertad doce años, con lo que la ejecución de las resoluciones impugnadas ocasionaría un perjuicio al recurrente que haría al amparo perder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sendas providencias de 26 de marzo de 2012,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20 de abril de 2012, presentó alegaciones en las que, con cita de la doctrina de este Tribunal sobre el particular, interesó que se denegara la suspensión solicitada, dada la gravedad de las penas impuestas al recurrente, la lejanía del tiempo de cumplimiento definitivo y la circunstancia de que la suspensión determinaría la puesta en libertad del recurrente, lo que supondría, al menos parcialmente, un otorgamiento anticipado del amparo, lo que desnaturalizaría el carácter cautelar de la medida.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por escrito registrado el 3 de abril de 2012, presentó alegaciones reiterando su solicitud de suspensión de las resoluciones impugnadas por los graves perjuicios que supone el mantenimiento en prisión, toda vez que ya ha transcurrido más de tres años desde que se superó la fecha del licenciamiento definitivo propuesto por el centro penitenciario y rechazado por las resoluciones recurridas en amparo, a lo que añade que la suspensión solicitada no supone perturbación grave de los intereses generales.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56.2 de la Ley Orgánica del Tribunal Constitucional dispone que la Sala que conozca de un recurso de amparo acordará la suspensión de la ejecución del acto de los poderes públicos por razón del cual se reclame el amparo cuando dicha ejecución, caso de llevarse a cabo, “produzca un perjuicio al recurrente que pudiera hacer perder al amparo su finalidad”, consagrándose, en el segundo inciso de dicho precepto, un límite a esa facultad, pues queda condicionada a que “la suspensión no ocasione perturbación grave a un interés constitucionalmente protegido, ni a los derechos fundamentales o libertades de otra persona”. De ello deriva, como regla general, que la admisión del amparo no conlleva la suspensión de la ejecución de los actos recurridos, ni siquiera en el supuesto expresamente previsto de la pérdida de finalidad del amparo, dado que la suspensión se condiciona a que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ya ha reiterado que en casos como el presente en que se solicita la suspensión de la ejecución de las resoluciones judiciales relativas a la aprobación del licenciamiento definitivo en aplicación de la doctrina establecida en la Sentencia de la Sala de lo Penal del Tribunal Supremo núm. 197/2006, de 28 de febrero, no resulta procedente la puesta cautelar en libertad del recurrente por implicar una perturbación grave de un interés constitucionalmente protegido como lo es el legítimo interés público en el cumplimiento de las penas, en atención a la gravedad de las penas que se están ejecutando. A ello se añade la circunstancia de que la puesta en libertad del recurrente supondría, al menos parcialmente, un otorgamiento anticipado del amparo que se solicita, lo que desnaturalizaría la naturaleza cautelar de la medida (por todos, AATC 206/2010, de 30 de diciembre, 3/2011, de 14 de febrero, y 25/2012, de 31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y tal como interesa el Ministerio Fiscal, la solicitud de suspensión debe ser rechazada, ya que se trata del cumplimiento de penas graves cuyo límite se ha establecido en treinta años y su concesión supondría la puesta en libertad del recurrente y, con ello, un parcial otorgamiento anticipado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4017-2009.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