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24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7325-2010, promovido por don Luis María Lizarralde Izaguirre, representado por el Procurador de los Tribunales don Javier Cuevas Rivas, contra el Auto de 8 de julio de 2010 de la Sala de lo Penal del Tribunal Supremo, que inadmite el recurso de casación formalizado por el recurrente contra el Auto de 16 de diciembre de 2009 de la Sección Tercera de la Sala Penal de la Audiencia Nacional que , conforme a la doctrina de la Sentencia del Tribunal Supremo (Sala Segunda) núm. 197/2006, de 28 de febrero, desestima el recurso de súplica deducido por aquel frente a la providencia de 18 de noviembre de 2009 de la Sección Tercera de la Sala Penal de la Audiencia Nacional (expediente de refundición núm. 6-1998, dimanante de la ejecutoria núm. 60-1996, del sumario núm. 1-1981 del Juzgado Central de Instrucción núm. 5) que aprobaba el licenciamiento definitivo del actor para el día 9 de mayo de 2022. Ha intervenido el Ministerio Fiscal. Ha sido Ponente el Magistrado don Ramón Rodríguez Arribas,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octubre de 2010 don Luis María Lizarralde Izaguirre, representado por el Procurador de los Tribunales don Javier Cuevas Rivas, interpuso recurso de amparo contra las resoluciones a las que se ha hecho referencia en el encabezamiento de esta sentencia, por vulneración de sus derechos a la tutela judicial efectiva (art. 24.1 CE), en su vertiente de intangibilidad de las resoluciones judiciales firmes en conexión con la observancia de los principios de seguridad jurídica e irretroactividad (art. 9.3 CE); y a la libertad personal (art. 17.1 CE); así como por infracción de los principios de reeducación y reinserción social de las penas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integrante del comando “Donosti” (1981) de la organización terrorista ETA, resultó ejecutoriamente condenado por Sentencia de la Audiencia Nacional núm. 22/1996, de 24 de abril de 1996 (sumario 1-81 del Juzgado Central de Instrucción núm. 5), como autor de dos delitos de asesinato con alevosía, uno consumado y otro en grado de frustración concurriendo la circunstancia agravante de premeditación, a las penas de veintiséis años de reclusión mayor y dieciséis años de reclusión respectivamente. De igual manera, mediante Sentencia de la Audiencia Nacional núm. 37/1995, de 23 de junio de 1995 (sumario 184-81 del Juzgado Central de Instrucción núm. 4), fue condenado como autor de un delito de asesinato con alevosía y premeditación a la pena de veintiocho años de reclusión mayor, a la pena de cuatro años de prisión por un delito de utilización ilegítima de vehículo de motor ajeno con empleo de intimidación, y a la pena de tres meses de arresto mayor por un delito de coacciones.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28 de enero de 1998 de la Sección Tercera de la Sala de lo Penal de la Audiencia Nacional (expediente refundición núm. 6-1998) se acordó acumular las condenas impuestas al actor, “fijándose en una duración de treinta años de privación de libertad el tiempo total de cumplimiento de todas las penas privativas de libertad impuestas en las causas expresadas”, resolución que devino firme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septiembre de 2009, el Director del centro penitenciario de Burgos elevó propuesta de licenciamiento definitivo en la que, con mención de los días de prisión preventiva y de redenciones ordinaria y extraordinaria, concluía que la fecha de extinción con redención pudiera ser el 26 de noviembre de 2009, si bien señalaba como fecha de extinción sin redención el 9 de mayo de 2022, significando que “el citado penado pude (sic) estar incluido dentro de los criterios de la Sentencia del Tribunal Supremo de 28/02/2006 (doctrina Parot), dejando a su superior criterio si procede adoptar esta nueva doctrina”. Posteriormente, tras interesarlo la Audiencia Nacional en escrito de 22 de octubre de 2009, el Director del centro penitenciario de Burgos elevó, con fecha 26 de octubre de 2009, nueva propuesta de licenciamiento definitivo en la que se fija la extinción de condena sin redención para el día 9 de mayo de 2022. De esta manera, mediante providencia de 18 de noviembre de 2009, la Sección Tercera de la Sala de lo Penal de la Audiencia Nacional aprobó el licenciamiento definitivo del penado para el día 9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interpuso recurso de súplica contra la anterior providencia, al estimar que infringía su derecho a la tutela judicial efectiva en relación con los principios de seguridad jurídica, irretroactividad de las normas e intangibilidad de resoluciones judiciales firmes, así como de su derecho a la libertad. En Auto de 16 de diciembre de 2009 la Sección Tercera de la Sala de lo Penal de la Audiencia Nacional desestimó el recurso por cuanto “la interpretación de las normas efectuada por la parte no puede primar sobre la interpretación que de las mismas efectúa la jurisprudencia del Tribunal Supremo, y que es la que esta Sala ha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el referido Auto se anunció por la representación del recurrente recurso de casación (art. 988 de la Ley de enjuiciamiento criminal) por infracción de precepto constitucional (arts. 9.3, 17.1 24.1 y 25. 2 CE) y legal [arts. 70.2 y 100 del Código penal (CP) de 1973]. Mediante Auto de 23 de febrero de 2010 se tuvo por preparado el recurso de casación, si bien el Auto del Tribunal Supremo (Sala de lo Penal) de 8 de julio de 2010 acordó no haber lugar a la 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alegar el cumplimiento de los requisitos formales, justifica la trascendencia constitucional en la novedad y necesidad de un pronunciamiento sobre la doctrina de la STS (Sala Segunda) núm. 197/2006, de 28 febrero (“doctrina Parot”), la cual, contra un consolidado criterio jurisprudencial, computa la redención de penas por el trabajo, no sobre la pena acumulada, sino sobre cada una de las impuestas, haciendo desaparecer las redenciones y beneficios ya firmes, afectándose así la tutela judicial, el principio de legalidad, la seguridad jurídica y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vulnerado el derecho al proceso con las debidas garantías y a la tutela judicial efectiva (arts. 24.1 CE) en su vertiente de intangibilidad de las resoluciones judiciales firmes en conexión con la observancia de los principios de seguridad jurídica e irretroactividad (art. 9.3 CE). Considera que las resoluciones que se recurren conllevan una alteración del Auto de 28 de enero de 1998 de la Sección Tercera de la Sala de lo Penal de la Audiencia Nacional, resolución judicial firme por virtud de la cual se aprobó la refundición de condenas al recurrente, en aplicación de lo dispuesto en los arts. 70.2 y 100 CP 1973, y se fijó como límite en el cumplimiento las diversas penas en el de treinta años, pena resultante sobre la que habrían de operar los beneficios y redenciones penitenciarias.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vulnerado el derecho a la libertad personal (art. 17.1 CE) por cuanto las resoluciones que se recurren conllevan el vaciamiento absoluto de contenido de la figura de la redención de penas por el trabajo, haciéndola inoperante y acarreando un alargamiento legítimo de la permanencia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que se ha infringido el art. 25.2 CE por vulneración del principio de que las penas deben ir orientadas a la reeducación y reinserción social en conexión con la dignidad del ser humano (art. 10 CE) y el principio de humanidad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2011, la Sala Segunda del Tribunal Constitucional admitió a trámite el recurso de amparo recabando las actuaciones, con emplazamiento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ordenación de la Secretaría de Justicia de la Sala Segunda del Tribunal Constitucional de 13 de octubre de 2011, se acordó reiterar el testimonio de las actuaciones y de los emplazamientos a la Sección Tercera de la Sala de lo Penal de la Audiencia Nacional. En diligencia de ordenación de la Secretaría de Justicia de la Sala Segunda del Tribunal Constitucional de 24 de noviembre de 2011, se acordó remitir nuevamente la demanda de amparo a la Sección Tercera de la Sala de lo Penal de la Audiencia Nacional a fin de que procediese a realizar los emplazamientos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14 de febrero de 2012 el Fiscal ante el Tribunal Constitucional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y jurídicos del caso, considera que con el nuevo criterio interpretativo operado por las resoluciones judiciales recurridas se ha ocasionado un evidente perjuicio penológico al demandante de amparo. Si bien afirma que las liquidaciones de condena no parece que puedan ser clasificadas como resoluciones judiciales de naturaleza intangible, habida cuenta de la extremada fluidez de la vida de cumplimiento penitenciario cuando entra en juego la institución de retención de penas, sí que reputa como firme e intangible el Auto en el que se fija la refundición de penas. Señala que, establecidos unos criterios para fijar la refundición y ejecución de condena en el Auto de 28 de enero de 1998, éstos no pueden variarse en virtud de una posterior resolución por vía de remisión a una interpretación diferente de las normas atinentes, por lo que considera que se ha vulnerado el derecho a la intangibilidad de la resoluciones judiciales (art. 24.1 CE) engarzándolo con el principio de legalidad (art. 25.1 CE) en relación con la prohibición de retroactividad de las normas penales perjudiciales para el reo (art. 9.3 CE) y con la vulneración del derecho a la libertad personal (art. 17.1 CE), al haberse creado ex novo un nuevo marco paranormativo que ha causado una extensión de la fecha de licenciamiento del interno y una revisión en la aplicación de los beneficios de la redención de penas. Rechaza el Fiscal, sin embargo, la invocación del art. 25.2 CE, por cuanto este precepto no contiene un derecho fundamental invocable en amparo, sino un mandato dirigido al legislador para orientar la política penal y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marzo de 2012, el Pleno, de conformidad con lo establecido en el art. 10.1 n) de la Ley Orgánica del Tribunal Constitucional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22 de mayo de 2012 se señaló para la deliberación y votación de la presente Sentencia el día 24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el Auto de 8 de julio de 2010 de la Sala de lo Penal del Tribunal Supremo, que inadmite el recurso de casación formalizado por el recurrente contra el Auto de 16 de diciembre de 2009 de la Sección Tercera de la Sala Penal de la Audiencia Nacional que desestima el recurso de súplica deducido por aquél frente a la providencia de 18 de noviembre de 2009 de la Sección Tercera de la Sala Penal de la Audiencia Nacional (expediente de refundición núm. 6/1998, dimanante de la ejecutoria núm. 60-1996, del sumario núm. 1-81 del Juzgado Central de instrucción núm. 5) que aprobaba el licenciamiento definitivo del actor para el día 9 de mayo de 2022, al aplicar el criterio de la Sentencia del Tribunal Supremo (Sala Segunda) núm. 197/2006, de 28 de febrero (cómputo de los beneficios y redenciones penitenciarias sobre cada una de las penas y no sobre la resultante de la acumulación), ha lesionado los derechos fundamentales del recurrente a la tutela judicial efectiva (art. 24.1 CE), en su vertiente de intangibilidad de las resoluciones judiciales firmes en conexión con la observancia de los principios de seguridad jurídica e irretroactividad (art. 9.3 CE); a la libertad personal (art. 17.1 CE); y si ha infringido los principios de reeducación y reinserción social de las penas (art. 25.2 CE), con los argumentos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las razones reseñadas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del derecho a la tutela judicial efectiva (art. 24.1 CE) en su vertiente de intangibilidad de las resoluciones judiciales firmes se denuncia la cuestión de fondo, esto es, la aplicación al presente caso de un nuevo criterio jurisprudencial en la interpretación de los arts. 70.2 y 100 del Código penal (CP) de 1973 en relación con el cómputo de la redención de penas por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4). Un cambio de doctrina cuya aplicación al presente caso por la Audiencia Nacional implica que, si bien conforme al cómputo de las redenciones de penas por trabajo usado hasta ese momento el recurrente vería que las reducciones correspondientes al trabajo se aplicarían al límite máximo de treinta años, en aplicación del nuevo criterio se restarían de la suma total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derecho a la libertad (art. 17.1 CE) y del derecho a la tutela judicial efectiva (art. 24.1 CE), en relación con los principios de seguridad jurídica e irretroactividad,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CP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Dado que en el presente procedimiento no se impugna la Sentencia del Tribunal Supremo de 28 de febrero de 2006 ni cabe entrar a examinar si ésta se ha apartado o no de sus precedentes vulnerando el art. 14 CE. Y por lo que respecta a las resoluciones impugnadas, se limitan a aplicar la doctrina sentada en aquella Sentencia del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europeo para la protección de los derechos humanos y de las libertades fundamentales,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que se impugnan en el presente procedimiento de amparo vulneró su derecho a la tutela judicial efectiva (art. 24.1 CE) y como consecuencia de ello su derecho a la libertad (art. 17.1 CE), lo que —según se argumenta en los motivos de amparo primero y segundo— habría sucedido al aplicar un nuevo criterio de cómputo de la redención de penas por el trabajo que ignora la existencia de una legítima expectativa, fundada en el criterio que se venía siguiendo de forma unánime por los Tribunales y en una resolución judicial firme e intangible, de que las reducciones correspondientes al trabajo se aplicarían al límite máximo de treinta años y no a la suma total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(SSTC 15/2006, de 16 de enero, FJ 6; )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 El recurrente, integrante del comando “Donosti” (1981) de la organización terrorista ETA, resultó ejecutoriamente condenado por Sentencia de la Audiencia Nacional núm. 22/1996, de 24 de abril (sumario 1-81 del Juzgado Central de Instrucción núm. 5), como autor de dos delitos de asesinato con alevosía, uno consumado y otro en grado de frustración concurriendo la circunstancia agravante de premeditación, a las penas de veintiséis años de reclusión mayor y dieciséis años de reclusión respectivamente. De igual manera, mediante Sentencia de la Audiencia Nacional núm. 37/1995, de 23 de junio (sumario 184-81 del Juzgado Central de Instrucción núm. 4), fue condenado como autor de un delito de asesinato con alevosía y premeditación a la pena de veintiocho años de reclusión mayor, a la pena de cuatro años de prisión por un delito de utilización ilegítima de vehículo de motor ajeno con empleo de intimidación, y a la pena de tres meses de arresto mayor por un delito de coacciones.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28 de enero de 1998 de la Sección Tercera de la Sala de lo Penal de la Audiencia Nacional (expediente refundición núm. 6-1998) se acordó acumular las condenas impuestas al actor, “fijándose en una duración de treinta años de privación de libertad el tiempo total de cumplimiento de todas las penas privativas de libertad impuestas en las causas expresadas”, resolución que devino firme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septiembre de 2009 el Director del centro penitenciario de Burgos, elevó propuesta de licenciamiento definitivo en la que, con mención de los días de prisión preventiva y de redenciones ordinaria y extraordinaria, concluía que la fecha de extinción con redención pudiera ser el 26 de noviembre de 2009, si bien señalaba como fecha de extinción sin redención el 9 de mayo de 2022, significando que “el citado penado puede (sic) estar incluido dentro de los criterios de la Sentencia del Tribunal Supremo de 28/02/2006 (doctrina Parot), dejando a su superior criterio si procede adoptar esta nueva doctrina”. Posteriormente, tras interesarlo la Audiencia Nacional en escrito de 22 de octubre de 2009, el Director del centro penitenciario de Burgos elevó nueva propuesta de licenciamiento definitivo con fecha 26 de octubre de 2009 en la que se fija la extinción de condena sin redención para el día 9 de mayo de 2022. De esta manera, mediante providencia de 18 de noviembre de 2009, la Sección Tercera de la Sala de lo Penal de la Audiencia Nacional se aprobó el licenciamiento definitivo del penado para el día 9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interpuso recurso de súplica contra la anterior providencia, al estimar que infringía su derecho a la tutela judicial efectiva en relación con los principios de seguridad jurídica, irretroactividad de las normas e intangibilidad de las resoluciones judiciales firmes, así como de su derecho a la libertad. En Auto de 16 de diciembre de 2009 la Sección Tercera de la Sala de lo Penal de la Audiencia Nacional desestimó el recurso por cuanto “la interpretación de las normas efectuada por la parte no puede primar sobre la interpretación que de las mismas efectúa la jurisprudencia del Tribunal Supremo, y que es la que esta Sala ha aplicado”. Contra el referido Auto se anunció por la representación de la recurrente recurso de casación (art. 988 de la Ley de enjuiciamiento criminal), por infracción de precepto constitucional (arts. 9.3, 17.1, 24.1 y 25. 2 CE) y legal (arts. 70.2 y 100 CP 1973). Mediante Auto de 23 de febrero de 2010 se tuvo por preparado el recurso de casación, si bien el Auto del Tribunal Supremo (Sala de lo Penal) de 8 de julio de 2010 acordó no haber lugar a la 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ninguna de las resoluciones judiciales a las que se refiere el recurrente puede derivarse, en el presente caso, el efecto de intangibilidad respecto al criterio de cómputo de las redenciones pretendido. En concreto, el Auto de 28 de enero de 1998 que acordó la acumulación de las penas impuestas por ambas Sentencias “fijándose en una duración de treinta años de privación de libertad el tiempo total de cumplimiento de todas las penas privativas de libertad impuestas en las causas expresadas”, no dejó sin efecto las redenciones, ni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Luis María Lizarralde Izaguirre.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7325-2010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STC 40/2012, de 29 de marzo,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