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junio de 2011 el Procurador don Manuel Sánchez-Puelles y González-Carvajal interpuso demanda de amparo, en nombre y representación de don Mansueto Sayols Vendrell contra la Sentencia de Sala de lo Contencioso-Administrativo (Sección Quinta) del Tribunal Supremo de 6 de abril de 2011 y contra la Sentencia de la Sala de lo Contencioso-Administrativo del Tribunal Superior de Justicia de Cataluña de 2 de febrero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aduce que las resoluciones judiciales impugnadas han vulnerado su derecho a la tutela judicial efectiva (art. 24.1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por medio de otrosí, solicita la suspensión de la ejecución de las resoluciones recurridas. El recurrente aduce que su ejecución haría perder al recurso de amparo su finalidad y, por otro, que su suspensión de la eficacia de estas resoluciones no causaría perjuicios al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el recurrente que tanto él como las Administraciones demandadas y otros titulares de actividades igualmente afectados por las resoluciones judiciales “pueden sufrir graves perjuicios en sus bienes y derechos, patrimonio, derechos sociales, puestos de trabajo, actividades industriales y comerciales y/o indemnizaciones posibles a cargo de las Administraciones”, sin que proceda fianza “dadas las circunstancias concurrentes y dado que no peligran los derechos constitucionales del recurrente ni 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abril de 2012, la Sala Primera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abril de 2012 el recurrente presentó, en el Registro General de este Tribunal, su escrito de alegaciones. Aduce en este escrito que no existe perjuicio para el interés general ni tampoco para el recurrente en el proceso contencioso-administrativo, mientras que la ejecución de las resoluciones judiciales ocasionaría graves perjuicios económicos y morales no sólo a él que es titular de una gasolinera que parcialmente se encuentra ubicada en la zona afectada por las resoluciones, sino también a otros titulares de actividades que se encuentran en la misma zona, así como para todo el personal de estas actividades de servicio. Concluye, por otra parte, afirmando —sin mayor argumentación— que, en consecuencia, no procede la prestación de fianza.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4 de mayo de 2012 el Ministerio Fiscal presentó su escrito de alegaciones. El Fiscal recuerda la doctrina de este Tribunal conforme a la cual la suspensión cautelar en el proceso de amparo constitucional es una medida provisional de carácter excepcional y de aplicación restrictiva, y analiza los supuestos en los que justificadamente puede otorgarse la suspensión, entre los cuales se encuentran aquellos relativos al cierre de negocios. Considera, no obstante, que el recurrente no ha cumplido con la carga de probar que la ejecución de las resoluciones judiciales pueda acarrearle un perjuicio que hiciera perder al amparo su finalidad, pues aunque se afirma que tanto el recurrente como las Administraciones demandadas y otros terceros incomparecidos “pueden sufrir graves perjuicios en sus bienes y derechos, patrimonio, derechos sociales, puestos de trabajo, actividades industriales y comerciales y/o indemnizaciones posibles”, dichas afirmaciones no pueden verificarse porque el solicitante de la suspensión no ha acreditado la situación actual “ni de la Estación de Servicio ni de la empresa titular, respecto de activos y pasivos, capital, volumen de negocio efectivo, número de trabajadores afectados, actividad desarrollada y situación económica real de la explotación y, por ello, no se pueden entender debidamente justificados, ni aún prima facie o con carácter de principio de prueba, los perjuicios ni su irreparabilidad”.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en consecuencia, afirmando que “se ha de denegar la suspensión solicitada, toda vez que no se ha acreditado suficientemente un principio razonable de irreparabilidad de los perjuicios que ocasionaría su ejecución” y, subsidiariamente, para el caso de que no se compartiera esta apreciación, que se supedite la suspensión a la previa prestación de fianza.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y 95/2010, de 19 de julio, entre otros muchos).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y siempre “que la suspensión no ocasione perturbación grave a un interés constitucionalmente protegido, ni a los derechos fundamentales o libertades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es doctrina reiterada y unánime de este Tribunal que la previsión contenida en el art. 56.2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entre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resolver acerca de la procedencia o no de la suspensión solicitada, es preciso tener en cuenta que la Sentencia del Tribunal Superior de Justicia de Cataluña de 2 de febrero de 2007, que se confirma por la Sentencia del Tribunal Supremo de 6 de abril de 2011, anula la modificación de la calificación urbanística del terreno en el que se ubica la gasolinera del ahora recurrente en amparo, lo que determina que vuelva a tener validez la anterior calificación del mismo que era la de zona verde; calificación incompatible con su actual uso o destino a estación de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 acuerdo con el art. 210 del texto refundido de la Ley de urbanismo de Cataluña, aprobado por Decreto Legislativo 1/2010, de 3 de agosto, las licencias que se adopten con relación a los terrenos que el planeamiento destina al sistema de espacio libre público (como es el caso de las zonas verdes) que infrinjan las determinaciones de esta ley, del planeamiento urbanístico o de las ordenanzas municipales urbanísticas son nulas de pleno Derecho, debiendo revisarse por el procedimiento pertinente (art. 208.1) —el procedimiento de revisión de oficio— sin que la acción de restauración tenga plazo de prescripción (art. 207).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las consideraciones anteriores, es preciso tener en cuenta que, en el presente caso, las resoluciones judiciales cuya suspensión se solicita no se refieren ni afectan directamente a la licencia; se refieren únicamente a la calificación urbanística del terreno. La anulación de la licencia y la restauración de la zona verde —eventual efecto indirecto de la anulación de la calificación del terreno— requiere que se lleve a cabo un procedimiento de revisión de oficio de la licencia, así como dictar las correspondientes órdenes de demolición y restauración, sin que por el momento conste que tales procedimientos administrativos se hayan iniciado y sin que se sepa si esta cuestión se va o no, efectivamente, a plantear en ejecución de las resoluciones judiciales que se recurren en amparo. Por tanto, la solicitud de suspensión resulta prematura, teniendo por objeto evitar un perjuicio futuro o hipotético, esto es, hacer frente a un simple temor, cuando es doctrina de este Tribunal que “el perjuicio irreparable ha de ser real” (por todos, ATC 199/2010, de 21 de diciembre, FJ 3, y los allí citados). No concurren, por tanto, en la actualidad, los requisitos para el otorgamiento de la suspensión. Ello no obsta, claro está, a que si en el curso de este proceso de amparo, el simple temor se convirtiera en un perjuicio real, pudiera solicitarse de nuevo la suspensión, conforme a lo dispuesto en el apartado 4 del art.56 LOTC que permite dicha solicitud “en cualquier tiempo, antes de haberse pronunciado la sentencia o decidirse el amparo de otro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