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Javier Delgado Barrio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5417-2009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4 de febrero de 2010.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5 de junio de 2009, la Procuradora de los Tribunales doña María Dolores Maroto Gómez, en nombre y representación de doña Beatriz Aceitón Rebollo, presentó recurso de amparo contra la Sentencia de 5 de marzo de 2009 y el Auto de 22 de abril de 2009, dictados por el Juzgado de lo Social núm. 20 de Madrid en autos núm. 1409-2008, sobre concreción horaria.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fundamentó la demanda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en amparo ha venido trabajando para la empresa El Corte Inglés, S.A., con jornada reducida por cuidado de hijos desde el año 2006 (de 9:15 a 16:15 horas, de lunes a viernes, o de lunes a sábados, en semanas alternas; también domingos y festivos con apertura comercial autorizada). El 15 de septiembre de 2008 solicitó nueva reducción de jornada, interesando un horario de 10 a 15 horas, de lunes a viernes. La empresa no se opuso a la reducción si la misma se llevaba a cabo dentro de la jornada de trabajo ordinaria (de lunes a sábado, y domingos de apertura comercial) ya que entendía que la exclusión de los sábados y domingos perjudicaba al resto de la plantilla, que tendría que realizar esos días, y consideraba que la trabajadora no había acreditado la causa de su solicitud (imposibilidad del padre de cuidar a la hija común durante los días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recurrente formuló demanda sobre concreción horaria que fue desestimada por el Juzgado de lo Social núm. 20 de Madrid, mediante Sentencia de 5 de marzo de 2009 (autos núm. 1409-2008), al considerar que, conforme al art. 37.6 del Real Decreto Legislativo 1/1995, de 24 de marzo, por el que se aprueba el texto refundido de la Ley del estatuto de los trabajadores, la concreción horaria y la determinación del periodo de disfrute de la reducción de jornada correspondía al trabajador, pero dentro de su jornada ordinaria, lo que implicaba que la reducción no podía modificar esta última y suponer una alteración de los días de prestación de servicios, que era lo que pretendía la actora al intentar la exclusión de los sábados y domingos. Tal pretensión, según la Sentencia, no tiene apoyo en el Estatuto de los trabajadores ni en el convenio; y supondría, de aceptarse, una modificación unilateral de la jornada que quebrantaría la seguridad jurídica y la posición de la otra parte de la relación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Frente a la citada Sentencia, la recurrente formuló incidente de nulidad de actuaciones por considerar que el órgano judicial no había ponderado el derecho fundamental a no ser discriminado por razón de sexo, invocando, entre otras, la STC 3/2007, de 15 de enero. La petición de nulidad de actuaciones fue rechazada por el Juzgado mediante Auto de 22 de abril de 2009, por entender que lo que pretendía la parte excedía del ámbito de dicho incidente, con arreglo al art. 240.1 de la Ley Orgánica del Poder Judicial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justifica la especial trascendencia constitucional del recurso (art. 49.1 in fine de la Ley Orgánica del Tribunal Constitucional: LOTC) alegando que la Sentencia impugnada lesiona gravemente el derecho fundamental a la igualdad de la trabajadora, constituyendo una discriminación por razón de sexo contraria al art. 14 CE, tanto por la inaplicación de la jurisprudencia de este Tribunal Constitucional, al no haberse analizado la dimensión constitucional de los apartados 4 y 5 del art. 37 del Estatuto de los trabajadores , tendentes a facilitar la compatibilidad de la vida laboral y familiar de las mujeres trabajadoras, como por la incidencia que la denegación del derecho solicitado pueda tener en la conservación del puesto de trabajo de la trabajadora.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lesión del derecho fundamental que se denuncia, la recurrente sostiene la vulneración del art. 14 CE sobre la base de que la decisión judicial impugnada constituye una discriminación indirecta por razón de sexo, al haber efectuado el órgano judicial una interpretación restrictiva del derecho de reducción de jornada por la falta de ponderación acerca de si la denegación de la solicitud de la trabajadora constituía o no un obstáculo para la compatibilidad de su vida familiar y profesional. Con cita de la STC 3/2007, de 15 de enero, se afirma que el órgano judicial no debió limitarse a analizar el concepto legal de jornada ordinaria y si la petición de la actora se encontraba o no dentro de ella, sino que debió examinar si la denegación podía influir en el derecho fundamental de la trabajadora, ponderando los diversos intereses contrapuestos.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4 de febrero de 2010, acordó no admitir a trámite el recurso de amparo, por no apreciar en el mismo la especial trascendencia constitucional que, como condición para la admisión del recurso, requiere el art. 50.1 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referida providencia de inadmisión ha interpuesto recurso de súplica el Ministerio Fiscal, solicitando que se deje sin efecto y se dicte Auto admitiendo a trámite el presente recurso de amparo, toda vez que, a su juicio, se habría producido la vulneración del derecho a la no discriminación por razón de sexo (art. 14 CE) que se invoca y concurriría en el asunto la especial trascendencia constitucional que exige el art. 50.1 b) LOTC como condición para la admisión del recurso de amparo, haciendo necesario un pronunciamiento de fondo sobre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Fiscal, no cabe descartar la existencia de vulneración del derecho a la no discriminación por razón de sexo (art. 14 CE), pues la Sentencia impugnada no habría valorado adecuadamente, conforme a lo establecido en la STC 3/2007, de 15 de enero, la dimensión constitucional ex art. 14 CE de la cuestión planteada (petición de reducción horaria para compatibilizar la vida laboral y familiar). En este sentido, afirma que no se habrían ponderado las circunstancias concretas concurrentes para hacer compatibles los diferentes intereses en juego. Siendo verosímil la existencia de lesión del derecho fundamental, según el Fiscal, el asunto tendría la especial trascendencia constitucional exigida en el art. 50.1 b) LOTC para que este Tribunal Constitucional se pronuncie sobre el fondo del recurso, toda vez que concurriría el supuesto comprendido en el apartado f) del fundamento jurídico 2 de la STC 155/2009, de 25 de junio, a saber, que “el órgano judicial haya incurrido en una negativa manifiesta del deber de acatamiento de la doctrina del Tribunal Constitucional (art. 5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8 de marzo de 2010 se acordó dar traslado del recurso de súplica al demandante de amparo, para que en el plazo de tres días alegara lo que estimase pertinente, de conformidad con el art. 93.2 LOTC. Su representación procesal presentó el 16 de marzo de 2010 escrito en el que manifiesta adherirse al recurso de súplica presentado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mediante diligencia de ordenación de 30 de noviembre de 2010, se requirió a la demandante de amparo para que aportara copia de los escritos de demanda laboral y de formulación del incidente de nulidad de actuaciones promovido contra la sentencia recaída en las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Ministerio Fiscal recurre en súplica la providencia dictada por la Sección Segunda de este Tribunal el 4 de febrero de 2010, en la que se acordó no admitir a trámite el recurso de amparo núm. 5417-2009, por no apreciar en el mismo la especial trascendencia constitucional que, como condición para la admisión de todo recurso de amparo, requiere el art. 50.1 b) de la Ley Orgánica del Tribunal Constitucional (LOTC) redactado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Fiscal que el recurso de amparo debe admitirse a trámite, a causa de que la Sentencia impugnada habría inaplicado la doctrina de este Tribunal (en concreto, la emanada de la STC 3/2007, de 15 de enero, recaída en un caso que considera similar), lo cual podría subsumirse en el supuesto contemplado en el apartado f) de los identificados por la STC 155/2009, de 25 de junio, FJ 2, como idóneos para apreciar la especial trascendencia constitucional de un recurso de amparo, esto es, la negativa manifiesta del órgano judicial del deber de acatamiento de la doctrina sentada por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 aceptada, en principio, la aparente semejanza del presente recurso de amparo con el que dio lugar a la STC 3/2007, de 15 de enero, debe comenzarse por afirmar que, obviamente, la contradicción de un pronunciamiento judicial con cualquiera de las resoluciones dictadas por este Tribunal Constitucional no puede calificarse, sin más, como una negativa manifiesta del deber de acatamiento de nuestra doctrina. Como hemos sostenido en el ATC 26/2012, de 31 de enero, FJ 3, “la errónea interpretación o aplicación de la jurisprudencia, incluso si fuera objetivable y verificable en este caso concreto, es algo radicalmente distinto a la voluntad manifiesta de no proceder a su aplicación; algo diferente, dicho en otras palabras, a una decisión consciente de soslayarla (en este sentido, STC 133/2011, de 18 de julio, FJ 3), elemento intencional o volitivo que caracteriza el concreto supuesto de especial trascendencia constitucional que el Ministerio Fiscal invoca.”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ni el Fiscal fundamenta su recurso de súplica en que las resoluciones impugnadas pongan de manifiesto una voluntad consciente del órgano judicial de soslayar la doctrina constitucional ni tal conclusión puede deducirse del contenido de estas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debe confirmarse la inadmisión del recurso de amparo por estar incurso en la causa de inadmisión consistente en carecer de especial trascendencia constitucional [art. 50.1 b) LOTC], al no apreciarse ni haberse acreditado que su contenido resulte importante para la interpretación de la Constitución, para su aplicación o para su general eficacia, ni para la determinación del contenido y alcance de los derechos fundamentales.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4 de febrero de 2010.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