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155</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agosto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de Vacaciones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5716-2010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5716-2010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Sección Segunda de la Audiencia Provincial de Huelva de 29 de enero de 2010, dictada en el rollo núm. 246-2009, exclusivamente en lo relativo a las penas privativa de libertad de prisión de seis meses y accesoria de inhabilitación especial para el ejercicio del cargo de jefe de obra en la actividad empresarial de construcción por ese mismo periodo de tiempo impuestas a doña Paloma Ogayar Lechuga.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14 de julio de 2010, la Procuradora de los Tribunales doña María Luisa Maestre Gómez, en nombre y representación de doña Paloma Ogayar Lechuga, y bajo la dirección del Letrado don Fernando Vergel Araujo, interpuso recurso de amparo contra el Auto de la Sección Segunda de la Audiencia Provincial de Huelva de 3 de mayo de 2010, por el que se desestima el incidente de nulidad de actuaciones interpuesto contra la Sentencia de 29 de enero de 2010, dictada en el rollo núm. 246-2009, por la que, con estimación de recurso de apelación interpuesto contra la Sentencia del Juzgado de lo Penal núm. 4 de Huelva de 20 de febrero de 2009, dictada en el procedimiento abreviado núm. 221-2008, se condena, entre otros, a la recurrente por un delito contra los derechos de los trabajadores en concurso con una falta de lesiones a las penas de prisión de seis meses, multa de seis meses con una cuota diaria de diez euros y la accesoria de inhabilitación especial para el ejercicio del cargo de jefe de obra en la actividad empresarial de construcción, por el delito, y de veinte días de multa con una cuota diaria de diez euros, por la falta, así como al pago de las costas y una indemnización a la víctima de manera solidaria con los otros condenados.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ejecución de la Sentencia impugnada en cuanto a la pena privativa de libertad e inhabilitación especial para el ejercicio del cargo de jefe de obra en la actividad empresarial de construcción, al entender que su ejecución puede producir un perjuicio que haga perder al amparo su finalidad y que dicha suspensión no ocasiona una perturbación a un interés constitucionalmente protegido ni a los derechos o libertades de otras personas, destacando que se ha consignado la cuota que le corresponde en el pago de la indemnización de la víctima.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providencias de 2 de julio de 2012,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11 de julio de 2012, presentó alegaciones en las que, enunciando la jurisprudencia de este Tribunal sobre el particular, interesó la suspensión de la pena privativa de libertad y de su accesoria de inhabilitación especial, argumentando que si se compara la duración de la pena privativa de libertad impuesta, que es de prisión de seis meses, con el tiempo que normalmente se consume en la tramitación de un recurso de amparo, la denegación de la suspensión causaría a la recurrente un perjuicio irreparable, debiendo extenderse a la pena de inhabilitación por su carácter accesorio.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recurrente, por escrito registrado el 10 de julio de 2012, presentó alegaciones insistiendo en la necesidad de la suspensión, argumentado que la Sala Segunda de este Tribunal, por ATC 76/2012, de 7 de mayo, ya había acordado dicha suspensión en relación con otros condenamos en esta misma causa.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si bien se consagra como limitación a esa facultad que “la suspensión no ocasione perturbación grave a un interés constitucionalmente protegido, ni a los derechos fundamentales o libertades públicas de otra persona”. De ello se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un interés constitucionalmente protegido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esta doctrina,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de tal modo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(por todos, ATC 30/2011, de 28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en concreto, y por lo que se refiere a las penas de privación de libertad, se ha reiterado que procederá, en principio, acordar su suspensión al afectar a un bien de imposible o muy difícil restitución a su estado anterior, si bien se ha destacado que este criterio general tampoco es absoluto, ya que en estos supuestos deben también ponderarse otras circunstancias relevantes, significativamente la duración y gravedad de la pena impuesta porque en ella se expresa la reprobación que el ordenamiento asigna al hecho delictivo y, por consiguiente, la magnitud del interés general en su ejecución. Del mismo modo, este Tribunal también ha reiterado que la suspensión de la pena privativa de libertad debe conllevar la suspensión de las penas accesorias de inhabilitación que lleven a aparejadas (por todos, ATC 58/2012, de 26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recurrente solicita la suspensión de la Sentencia impugnada exclusivamente en relación con la pena de prisión de seis meses y su accesoria de inhabilitación especial para el ejercicio del cargo de jefe de obra en la actividad empresarial de construcción impuestas por la comisión de un delito contra los derechos de los trabajadores.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lo expuesto, y conforme también interesa el Ministerio Fiscal, debe acordarse la suspensión de la pena privativa de libertad y su accesoria de inhabilitación especial impuestas a la recurrente, ya que, atendidas todas las circunstancias concurrentes en el caso, de un lado, su ejecución puede ocasionar a la recurrente perjuicios irreparables que harían perder al amparo su finalidad, tanto por afectar al valor fundamental de la libertad como porque si se compara la duración de tales penas —seis meses— con el tiempo que requiere la tramitación de un proceso de amparo como el presente, ha de concluirse que la no suspensión de su ejecución ocasionaría un perjuicio irreparable, que privaría en parte o, incluso, en todo de eficacia a un eventual fallo estimatorio. Y, de otro, porque el acceder a la suspensión pretendida no ocasiona una lesión específica y grave de un interés constitucionalmente protegido —más allá de aquél que de por sí produce la no ejecución de un fallo judicial—, ni de derechos fundamentales o libertades públicas de terceros, especialmente la víctima, pues la suspensión no afecta al pago de la indemnización y de las costas.</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 de vacaciones</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Sección Segunda de la Audiencia Provincial de Huelva de 29 de enero de 2010, dictada en el rollo núm. 246-2009, exclusivamente en lo relativo a las penas privativa de libertad de prisión de seis meses y accesoria de inhabilitación especial para el ejercicio del cargo de jefe de obra en la actividad empresarial de construcción por ese mismo periodo de tiempo impuestas a doña Paloma Ogayar Lechuga.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agosto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