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200</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444-2011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por pérdida sobrevenida de objeto, la medida cautelar de suspensión solicitada por don Francisco Javier González Enríquez y otros en el recurso de amparo 444-2011.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24 de enero de 2011, el Procurador de los Tribunales don Jaime Briones Méndez interpuso recurso de amparo en nombre y representación de don Francisco Javier González Enríquez y otros contra el Auto del Juzgado de Primera Instancia núm. 87 de Madrid de 20 de octubre de 2010, que desestimó la oposición del Banco Bilbao Vizcaya Argentaria, S.A., (BBVA) frente a la solicitud de diligencias preliminares formulada por la asociación de usuarios de bancos, cajas de ahorros y seguros de España y acordó requerir al BBVA para que en plazo de treinta días entregara al Juzgado determinada información, para su puesta a disposición de la asociación de usuarios de bancos, cajas de ahorros y seguros de España; asimismo se impugna la providencia de 30 de noviembre de 2010, que denegó la personación de los recurrentes en el procedimiento de diligencias preliminares e inadmitió su petición de nulidad de actuaciones; la providencia de 20 de diciembre de 2010, que inadmitió a trámite el recurso de reposición formulado contra la anterior providencia; y, finalmente, la providencia de 22 de diciembre de 2010, que ordenó la devolución de los escritos oponiéndose a la asociación de usuarios de bancos, cajas de ahorros y seguros de España y de solicitud de eliminación de datos de carácter personal de la base de datos a entregar por el BBVA al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se solicitó en la demanda la suspensión de las resoluciones impugnadas en aplicación de los criterios previstos por el art. 56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 de marzo de 2012 la Sala Segunda de este Tribunal acordó formar la oportuna pieza para la tramitación del incidente sobre suspensión y conforme determina el art. 56 LOTC, concedió un plazo común de tres días a la parte recurrente y al Ministerio Fiscal para que formulasen las alegaciones que tuvieran por conveniente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los demandantes de amparo presentó sus alegaciones el 9 de marzo de 2012, mediante escrito en el que se reitera la petición de suspensión consignada en el escrito de demanda. Pone de manifiesto en su escrito que la Sala Primera de este Tribunal Constitucional ha admitido y se encuentra tramitando, bajo el núm. 8640-2010, un recurso de amparo interpuesto por el BBVA contra el mismo Auto del Juzgado de Primera Instancia núm. 87 de Madrid de 20 de octubre de 2010. Recuerdan los demandantes que en relación con este recurso de amparo la Sala Primera ha dictado el ATC 16/2011, de 25 de febrero, por el que se acuerda la suspensión del citado Auto del Juzgado de Primera Instancia núm. 87 de Madrid. En consecuencia, consideran que esta situación conduce a que deba entenderse que se ha producido una satisfacción más allá del presente recurso de amparo de la pretensión cautelar solicitada en el primer otrosí de la demanda de amparo, que hace innecesario en este momento un pronunciamiento por parte de la Sala Segunda acerca de la suspensión del Auto y demás resoluciones que traen causa de aquél. No obstante, señala que si la Sala entendiera que es procedente pronunciarse sobre la medida cautelar solicitada en el primer otrosí de la demanda de amparo, debe entenderse que se han acreditado todos los presupuestos que justificarían la suspensión solicitada, pues si se produjera la cesión de datos personales antes de la resolución de este recurso de amparo, el eventual otorgamiento del amparo carecería de eficacia material al haberse producido una lesión irreversible de los derechos fundamentales invocados que se consumaría con la sola cesión de los datos a un tercero (asociación de usuarios de bancos, cajas de ahorros y seguros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de 15 de marzo de 2012, señaló que una vez que ya está acordada la suspensión del Auto del Juzgado de Primera Instancia núm. 87 de Madrid de 20 de octubre de 2010 no concurre la situación de perentoriedad alegada por los recurrentes en su demanda de amparo, pues la resolución cuya suspensión se solicita, por la vía de urgencia excepcional, ya fue acordada con anterioridad por la Sala Primera, suspensión que sigue estando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mayo de 2012 la Sala Primera de este Tribunal dictó Sentencia resolviendo el recurso de amparo núm. 8640-2010 (STC 96/2012, de 7 de mayo), cuya parte dispositiva declaró la nulidad del Auto de 20 de octubre de 2010, del Juzgado de Primera Instancia núm. 87 de Madrid.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El art. 56 de la Ley Orgánica del Tribunal Constitucional faculta a este Tribunal para disponer la suspensión, total o parcial, de los efectos del acto o Sentencia impugnados cuando su ejecución “produzca un perjuicio al recurrente que pudiera hacer perder al amparo su finalidad”, circunstancia que no concurre en el presente caso, habida cuenta de que la STC 96/2012, de 7 de mayo, ha declarado la nulidad del Auto del Juzgado de Primera Instancia núm. 87 de Madrid de 20 de octubre de 2010, que es objeto de impugnación en el presente recurso de amparo y del que traen causa las posteriores resoluciones también impugnadas. En consecuencia, se ha producido una pérdida sobrevenida del objeto de la pretensión cautelar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por pérdida sobrevenida de objeto, la medida cautelar de suspensión solicitada por don Francisco Javier González Enríquez y otros en el recurso de amparo 444-2011.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