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5391-2009, promovido por doña Itziar Martínez Sustatxa, representada por la Procuradora de los Tribunales doña María Elvira Encinas Lorente y asistida por el Abogado don Iñaki Goyoaga Llano, contra la providencia de 7 de abril de 2009, de la Sección Tercera de la Sala de lo Penal de la Audiencia Nacional, dictada en la ejecutoria núm. 79-1996, dimanante del rollo de Sala núm. 110-1992, sumario núm. 33-1992 del Juzgado Central de Instrucción núm. 5, y contra el Auto de 27 de abril de 2009 que desestimó el recurso de súplica interpuesto frente a dicha resolución, por los que se fija el 25 de agosto de 2021 como fecha de licenciamiento definitivo de las penas acumuladas que cumple la recurrente.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junio de 2009, doña Itziar Martínez Sustatxa anunció su deseo de recurrir en amparo el Auto de 27 de abril de 2009 que desestimó el recurso de súplica interpuesto frente a la anterior providencia de 7 de abril dictados por la Sección Tercera de la Sala de lo Penal de la Audiencia Nacional en la ejecutoria núm. 79-1996, dimanante del rollo de Sala núm. 110-1992, sumario núm. 33-1992 del Juzgado Central de Instrucción núm. 5. Para ello designó al Letrado señor Goyoaga Llano y solicitó la designación de Procurador del turno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designación solicitada, la Procuradora señora Encinas Lorente, dentro del plazo que le fue concedido, interpuso el 25 de noviembre de 2009 recurso de amparo contra las resoluciones judiciales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tal y como derivan de las actuaciones recibidas,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fue condenada conforme al Código penal (CP) de 1973 en tres causas penales seguidas por delitos de terrorismo. Las condenas impuestas (de seis años y un día, treinta y nueve años y un día, y veintiséis años de privación de libertad) fueron procesalmente acumuladas por la Sección Tercera de la Sala de lo Penal de la Audiencia Nacional, último Tribunal sentenciador, en la ejecutoria núm. 79-1996 en la que, por Auto de 28 de septiembre de 1998, se fijó en treinta años de privación de libertad el límite máximo de cumplimiento de todas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4 de marzo de 2009, el director del centro penitenciario de Dueñas (Palencia), en el que se encontraba interna la demandante, solicitó al Tribunal sentenciador la aprobación del licenciamiento definitivo de la penada para el día 4 de junio de 2009. Sobre dicha propuesta fue oído el Ministerio Fiscal que, en escrito de 17 de marzo siguiente, informó favorablemente la misma. La Sección Tercera de la Sala de lo Penal de la Audiencia Nacional, mediante providencia de 23 de marzo de 2009, aprobó el licenciamiento definitivo para la fecha propuesta, lo que comunicó al centro penitenciario al que solicitó le remitiera certificado de licenciamiento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 de abril siguiente, el director del centro penitenciario se dirigió de nuevo al Tribunal sentenciador solicitando aclaración acerca de la posible aplicación a la penada de los criterios de cómputo de redención fijados en la STS 197/2006. Por providencia de 7 de abril de 2009, la Sección acordó requerir al director del centro penitenciario para que formulara nueva propuesta de licenciamiento definitivo en aplicación de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13 de abril de 2009, la penada recurrió en súplica dicha providencia solicitando su nulidad, poniendo de manifiesto el carácter firme de la anterior, de 24 de marzo, que aprobaba que fuera excarcelada el 4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recibió el 15 de abril un oficio del director del centro penitenciario en el que se indicaban las posibles fechas de licenciamiento definitivo en función del criterio de cómputo de redención que se aplicase, señalando que, de seguirse el fijado en la STS 197/2006, la fecha de excarcelación sería el 25 de agosto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27 de abril de 2009, la Sección Tercera de la Sala de lo Penal de la Audiencia Nacional desestimó el recurso de súplica, mantuvo la providencia de 7 de abril impugnada y acordó, a la vista de la última propuesta formulada por el centro penitenciario, que, de conformidad con el criterio establecido por la citada Sentencia de la Sala de lo Penal del Tribunal Supremo, el licenciamiento definitivo de la penada debería tener lugar el 25 de agosto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dicho Auto la penada presentó el 1 de junio de 2009 una solicitud de nulidad de actuaciones, la cual fue inadmitida a trámite por providencia de 23 de junio siguiente, catorce días después de que, el 9 de junio, la demandante hubiera solicitado de este Tribunal Constitucional que se diera trámite al presente recurso de amparo mediante la designación de Procurador del turno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justificar la especial trascendencia constitucional del recurso en la necesidad de un pronunciamiento del Tribunal Constitucional sobre una cuestión que era entonces novedosa en su jurisprudencia (la doctrina de la Sala de lo Penal del Tribunal Supremo fijada en la Sentencia 197/2006, de 28 febrero, sobre el cómputo de la redención de penas en caso de cumplimiento de penas acumuladas), cuestión que, además, se considera que trasciende al caso concreto y afecta a numerosos penados que se hallan cumpliendo diversas penas acumuladas a cuyo cumplimiento se ha fijado un límite máximo, la recurrente invoca como vulnerados en su demanda de amparo los derechos fundamentales a la igualdad (art. 14 CE) a la libertad y seguridad (art. 17.1 CE), a la tutela judicial efectiva (art. 24.1 CE), a la defensa (art. 24.2 CE); así como el principio de legalidad y seguridad jurídica, y la orientación de las penas privativas de libertad y medidas de seguridad hacia la reeducación y reinserción social (art. 25.1 y 2 CE), fundamentando su demanda de amparo en los ocho motivos o quejas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aduce la vulneración del principio acusatorio, del derecho a la defensa y a la contradicción en relación con el derecho a la tutela judicial efectiva y a un proceso público con todas las garantías, y “todo ello en relación con el derecho a la libertad, recogido en el artículo 17 de la CE”. Con cita de las SSTC 11/1987 y 123/2005, la demanda expone que la providencia de 7 de abril de 2009, ratificada por el posterior Auto de 27 de abril, se dictaron sin dar traslado a la penada o a su defensa del escrito de 3 de abril de 2009 del centro penitenciario por el que se solicitaba aclaración sobre la fecha de licenciamiento definitivo, por lo que no se dio a la demandante la posibilidad de discutir previamente su contenido ni la aplicación en su caso del criterio de cómputo de la redención finalmente aplicado, asumiendo el órgano judicial funciones acusatorias, rompiendo así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se afirma la vulneración del principio de legalidad (art. 25.1 y 2 CE), en relación con la interpretación de los arts. 70.2 y 100 CP 1973, así como de los arts. 66 del Reglamento de prisiones de 1956 y del art. 202 del Reglamento penitenciario vigente. Argumenta, en tal sentido, que la interpretación llevada a cabo por el Tribunal Supremo, y aplicada en el presente caso, es ajena al tenor literal de dichas normas, pudiendo calificarse como extravagante, imprevisible e irrespetuosa, por ser contraria a la que venía siendo realizada hasta la fecha por los órganos judiciales, incluido el propio Tribunal Supremo. Entiende que dicha interpretación, en el caso de delitos graves, supone de hecho un agravamiento de su condena al situar el límite máximo de cumplimiento efectivo de la condena más allá de la aplicación de la redención o de la sujeción al tratamiento penitenciario, haciendo abstracción del art. 25 CE. Afirma que las resoluciones impugnadas niegan el carácter de beneficio penitenciario a las redenciones de condena. Expone que el art. 100 CP las configura como tiempo de “cumplimiento”, debiendo aplicarse a efectos de la liquidación de condena, y señala que, según el art. 202 del Reglamento penitenciario, suponen una reducción de la condena impuesta por el tiempo efectivo de internamiento. Entiende que deben descontarse del tiempo máximo de cumplimiento los beneficios penitenciarios y por tal razón considera que tendría extinguida su condena desde el 4 de junio de 2009. Posteriormente cita los arts. 66 y 71.3 del Reglamento de servicios y prisiones de 1956, para reforzar su afirmación de la procedencia de descontar del máximo de cumplimiento, y no de cada una de las penas individualmente considerada, los beneficios que supongan un acortamiento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se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 las redenciones aprobadas por los Juzgados de vigilancia penitenciaria, intangibles y firmes, aplicadas —como se venía haciendo— al tope de treinta años, suponían un acortamiento de dicha duración. El trabajo y los estudios en la prisión se realizaron en la confianza de que las redenciones así obtenidas implicarían un acortamiento del tiempo de permanencia en prisión, y se generó una expectativa de acortamiento sobre la base de la actuación de los Juzgados de vigilancia penitenciaria y las Audiencias que aprobaron las redenciones propuestas por las diferentes prisiones. La defraudación de esa expectativa con la nueva doctrina aplicada genera inseguridad jurídica y vulnera el derecho a la tutela judicial efectiva, en relación con el derecho a la libertad, que implica un deber reforzado de motivación. Citando la STC 174/1989, afirma que se habría lesionado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motivo de amparo se argumenta la violación del derecho a la tutela judicial efectiva (art. 24.1 CE), en cuanto garantiza la intangibilidad de las resoluciones judiciales firmes, y en relación con los principios de legalidad y seguridad jurídica. Se afirma que el Auto que acordó acumular las condenas impuestas a la penada fijando en una duración de treinta años de privación de libertad el tiempo máximo de cumplimiento significa la conformación de una sola condena susceptible de reducción por redención de penas. Cuestiona que sea una resolución de mero trámite la providencia de 23 de marzo de 2009 que aprobó la inicial propuesta de licenciamiento definitivo, por lo que sólo podía ser modificada mediante los recursos previstos por la ley. En tal medida, al no haber sido recurrida, la misma devino firme e intangible.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afirma la vulneración del principio de legalidad (arts. 25.1 y 9.3 CE), entendiéndose que las resoluciones efectúan una aplicación retroactiva de una norma penal desfavorable, en relación con los arts. 7 del Convenio europeo para la protección de los derechos humanos y de las libertades fundamentales (CEDH) y 15 del Pacto internacional de derechos civiles y políticos (PIDCP). Considera que la resolución impugnada realiza una aplicación fraudulenta del art. 78 CP 1995, violándose así la legalidad cuando se hace una aplicación de una norma penal, cuya entrada en vigor sea posterior al hecho enjuiciado, si resulta imprevisible concluir que dicha norma era más beneficiosa para el acusado. Afirma que el Código penal de 1973 no contempla aplicar la redención sobre cada una de las penas; indica que tal posibilidad sí se contempla en el Código penal de 1995, en relación con los beneficios penitenciarios y la libertad condicional, por lo que entiende que la Sentencia del Tribunal Supremo no efectúa una nueva interpretación del art. 70.2 CP sino que lo que de facto realiza es una aplicación retroactiva del criterio establecido en el art. 78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e invocando el derecho a la igualdad en la aplicación de la ley (art. 14 CE), con cita de la STC 144/1988,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y el Voto particular de la STS 197/2006). Afirma que se trata de una nueva lectura del art. 70.2 CP 1973 provocada por factores extrajudiciales, dados los sujetos pasivos a los que afecta, y por las circunstancias en que se adopta la decisión, suponiendo, por tanto, un cambio de criterio ad personam.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séptimo motivo de amparo se alega, de nuevo, la vulneración del derecho a la libertad personal (art. 17.1 CE). Tras poner de relieve que, conforme a la jurisprudencia de este Tribunal, la redención de penas por el trabajo afecta al derecho a la libertad (SSTC 31/1999 y 76/2004), se sostiene que el mencionado cambio de criterio jurisprudencial contra el reo modifica su expectativa de libertad, implicando un alargamiento de su estancia en prisión, sin base legal ni reglamentaria y en contra de la práctica habitual y pacífica. Reproduce parcialmente el Voto particular de la STS 197/2006, añadiendo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Indica que la demandante cumplió la condena el 4 de junio de 2009, según se desprende de la liquidación de condena realizada por la prisión de Dueñas (Palencia). Por todo ello, estima que las resoluciones impugnadas violan el art. 17 CE y los arts. 5 y 7.1 CEDH,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la vulneración del art. 25.2 CE en relación con las reglas mínimas para el tratamiento de los reclusos y el Pacto internacional de derechos civiles y políticos, al incumplir el principio conforme al cual las penas privativas de libertad y medidas de seguridad deben ir orientadas hacia la reeducación y reinserción social. Indica que la reclusión excesivamente prolongada puede producir efectos irreparables en la personalidad, y que la institución de redención de penas estaba orientada a la resocialización y reeducación, objetivos que no pueden satisfacerse con la interpretación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 medida cautelar ésta que reiteró en escritos registrados el 5 y 29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Tercera de la Sala de lo Penal de la Audiencia Nacional para que en el plazo no superior a diez días remitiera testimonio de las actuaciones correspondientes a la ejecutoria núm. 79-1996, interesándose al propio tiempo el emplazamiento de quienes fueron parte en el procedimiento, a excepción de la recurrente,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acordó la formación de pieza separada para la tramitación del incidente sobre la suspensión solicitada, concediendo a la recurrente y al Ministerio Fiscal un plazo común de tres días para que alegasen lo que estimasen pertinente sobre dicha suspensión. Evacuado dicho trámite de alegaciones, la Sala desestimó la solicitud de suspensión mediante Auto de 7 de mayo de 2012, ratificado en su contenido por providencia de 21 de agosto siguiente, desestimatoria de una nueva solicitud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3 de septiembre de 2012, se tuvieron por recibidos los testimonios de las actuaciones remitidos por la Sección Tercera de la Sala de lo Penal de la Audiencia Nacional y se procedió, conforme a lo establecido en el art. 52 LOTC, a dar vista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presentó su escrito de alegaciones en este Tribunal el 5 de octubre de 2012, en el que ratifica y renueva las formuladas en la demanda de amparo, con cita, en relación con el motivo primero, de la STC 11/1987, cuya doctrina considera aplicable al caso. Sobre el segundo motivo considera aplicable la ratio de la doctrina que en la STC 57/2008 condujo a la estimación del amparo solicitado. En relación con las cuestiones de fondo pone de relieve la similitud fáctica de su caso con el abordado y resuelto en la STC 62/2012, de 29 de marzo, que considera aplicable. En lo demás, ratifica el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este Tribunal su escrito de alegaciones el 16 de octubre de 2012. En ellas pone de relieve que las resoluciones impugnadas en el presente proceso de amparo lo fueron también posteriormente en un nuevo escrito que ha dado lugar a un nuevo proceso de amparo con núm. 7468-2009, en el que junto a éstas se impugnó también la providencia de 23 de junio de 2009 por la que la Sección Tercera de la Sala de lo Penal de la Audiencia Nacional inadmitió la solicitud de nulidad de actuaciones instada por la demandante el 1 de junio contra el Auto de 27 de abril de 2009 que señaló nueva fecha de licenciamiento definitivo. Dicho recurso de amparo núm. 7468-2009 concluyó por medio de la STC 60/2012, de 29 de marzo, que lo inadmitió al apreciar falta de agotamiento de la vía judicial previa por no haber intentado la recurrente acudir en la vía judicial previa al recurso de casación que podía interponerse contra el Auto de 27 de abril que fijó nueva fecha de licenciamiento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siendo el objeto del presente proceso de amparo exactamente el mismo del ya reseñado recurso de amparo 7498-2009, que fue inadmitido en Sentencia, considera que procede su inadmisión por la misma causa entonces apreciada, es decir, por falta de agotamiento de la vía judicial previa, al haberse acudido directamente al amparo sin haber intentado el recurso de casación. Subsidiariamente, para el caso de que no fuera apreciada la concurrencia de la causa de inadmisión señalada, el Fiscal interesa la estimación de la pretensión de amparo de conformidad con lo resuelto en la STC 62/2012,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noviembre de 2012 se acordó señalar para deliberación y votación de la presente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27 de abril de 2009, desestimatorio del recurso de súplica interpuesto contra la providencia de 7 de abril de 2009, por la que se acordó fijar como nueva fecha para el licenciamiento definitivo de la recurrente el día 25 de agosto de 2021, en aplicación del criterio establecido por la Sentencia de la Sala de lo Penal del Tribunal Supremo núm. 197/2006, de 28 de febrero, según la cual, en caso de condenas acumuladas, la redención de penas por el trabajo ha de computarse sobre cada una de las penas impuestas que se cumplen sucesivamente por orden de gravedad y no sobre el límite máximo de cumplimiento efectivo que pudiera haberse fijado en aplicación del art. 70.2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 los derechos fundamentales a la tutela judicial efectiva sin indefensión (art. 24.1 CE); del derecho de defensa (art. 24.2 CE), a la legalidad de las infracciones y sanciones (art. 25.1 CE), en conexión con los principios del art. 9.3 CE; a la tutela judicial efectiva en la vertiente que garantiza la intangibilidad de las resoluciones judiciales firmes (art. 24.1 CE), en relación con los principios de legalidad y seguridad jurídica (art. 9.3 CE); y a la igualdad en la aplicación de la ley (art. 14 CE); todo ello en relación con el derecho a la libertad personal (art. 17.1 CE). También se alega la vulneración del art. 25.2 CE en relación con las reglas mínimas para el tratamiento de los reclusos y el Pacto internacional de derechos civiles y políticos, al incumplir el principio de que las penas privativas de libertad y medidas de seguridad deben ir orientadas hacia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con carácter principal la inadmisión del recurso de amparo ex arts. 44.1 a) y 50.1 a) de la Ley Orgánica del Tribunal Constitucional (LOTC), por considerar incumplido el requisito del agotamiento de la vía judicial y, subsidiariamente, su estimación por considerar vulnerado el derecho a la tutela judicial efectiva en cuanto garantiza la intangibilidad de las resoluciones judiciales firmes, tal y como se resolvió en la STC 62/2012,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venimos recordando reiteradamente,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y STC 89/2011, de 6 de junio, FJ 2).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examen de las actuaciones remitidas el pasado 25 de junio de 2012 por la Sala de lo Penal de la Audiencia Nacional, tras acordar la admisión a trámite de la presente demanda de amparo, permite constatar una actuación procesal de parte a la que la demandante no ha hecho referencia alguna a lo largo de este proceso de amparo, que permite apreciar la concurrencia de la causa de inadmisión de falta de agotamiento de la vía judicial previa [art. 50.1 a), en relación con el art. 44.1 a) LOTC], por haberse simultaneado el presente recurso de amparo con una solicitud de nulidad de actuaciones presentada contra el mismo Auto de 27 de abril de 2009, impugnado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SSTC 32/2010, de 8 de julio, FJ 2 y 105/2011,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una vez recibidas las actuaciones judiciales de la ejecutoria núm. 79-1996 en la que se dictaron las resoluciones cuestionadas en amparo, ha quedado acreditado que el 1 de junio de 2009, la representación procesal de la recurrente, con asistencia letrada, tras serle notificado el Auto de 27 de abril de 2009 que impugna en este proceso, procedió, al amparo de lo establecido en el art. 241.1 de la Ley Orgánica del Poder Judicial, a solicitar la nulidad de dicha resolución y de la providencia recurrida en súplica alegando la supuesta vulneración de los arts. 17, 24.1, 25.1 y 2 de la Constitución. Esta solicitud de nulidad fue posteriormente inadmitida a trámite mediante providencia de 23 de junio. Pero en el ínterin, mientras se tramitaba la solicitud de nulidad de actuaciones, doña Itziar Martínez Sustatxa acudió a este Tribunal Constitucional mediante escrito registrado 9 de junio de 2009 anunciando su deseo de recurrir en amparo el citado Auto de 27 de abril, designando asistencia letrada al efecto y solicitando la designación de Procurador del turno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pone de manifiesto que cuando el 9 de junio de 2009 formuló su solicitud de amparo con designación de Letrado y paralela petición de designación de Procurador de oficio, mantenía abierta la vía judicial previa, merced a una solicitud de nulidad de actuaciones que no fue definitivamente resuelta sino catorce días más tarde, el 23 de junio siguiente. Por tanto, concurre el óbice procesal de falta de agotamiento de la vía judicial previa [art. 50.1 a), en relación con el art. 44.1 a) LOTC], al haberse hecho coexistir esta jurisdicción de amparo con la vía judicial ordinaria, pues, como este Tribunal ha puesto de manifiesto en anteriores ocasiones, es la fecha en la que se registra en este Tribunal la solicitud de amparo, con o sin simultánea solicitud de designación de Abogado o Procurador de oficio, la que marca el dies ad quem de su interposición (ATC 163/2009, de 21 de mayo, FJ 2), pues con este proceder procesal la demandante compareció ante este Tribunal Constitucional cuando aún no se habían resuelto los medios de impugnación que había puesto en marcha dentro de la vía judicial previa, provocando así la coexistencia temporal de ambos procedimientos, el de la jurisdicción ordinaria y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que antecede resulta procedente dictar Sentencia inadmitiendo el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Itziar Martínez Sustatxa.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